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0D5A" w14:textId="0D186D40" w:rsidR="00F01B1E" w:rsidRDefault="2DF21E12" w:rsidP="37D68588">
      <w:pPr>
        <w:pStyle w:val="Title"/>
        <w:rPr>
          <w:rFonts w:asciiTheme="minorHAnsi" w:eastAsiaTheme="minorEastAsia" w:hAnsiTheme="minorHAnsi" w:cstheme="minorBidi"/>
          <w:color w:val="009C9B"/>
          <w:sz w:val="32"/>
          <w:szCs w:val="32"/>
        </w:rPr>
      </w:pPr>
      <w:r w:rsidRPr="37D68588">
        <w:t>Muhtasari wa Sheria ya Watu Wenye Ulemavu, 2010</w:t>
      </w:r>
    </w:p>
    <w:p w14:paraId="1AA55732" w14:textId="4BEBA1A8" w:rsidR="00F01B1E" w:rsidRDefault="2DF21E12" w:rsidP="52B4856E">
      <w:pPr>
        <w:spacing w:before="240" w:after="240" w:line="360" w:lineRule="auto"/>
      </w:pPr>
      <w:r w:rsidRPr="52B4856E">
        <w:t>Sheria ya Watu Wenye Ulemavu ya mwaka 2010 ni sheria iliyotungwa kulinda haki na kuboresha maisha ya watu wenye ulemavu nchini. Inahakikisha wanatendewa kwa haki, wanapata fursa sawa, na wanaweza kushiriki kikamilifu katika jamii kama watu wengine. Muhtasari huu unaelezea kila sehemu ya Sheria ili kuwasaidia wasomaji kuelewa madhumuni yake na jinsi inavyofanya kazi.</w:t>
      </w:r>
    </w:p>
    <w:p w14:paraId="4D82A481" w14:textId="4145F09F"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I: Utangulizi</w:t>
      </w:r>
    </w:p>
    <w:p w14:paraId="6E21AA2A" w14:textId="43C81D77" w:rsidR="00F01B1E" w:rsidRDefault="2DF21E12" w:rsidP="52B4856E">
      <w:pPr>
        <w:spacing w:before="240" w:after="240" w:line="360" w:lineRule="auto"/>
      </w:pPr>
      <w:r w:rsidRPr="52B4856E">
        <w:t>Sehemu hii inatambulisha Sheria na kueleza maneno muhimu yanayotumika ndani yake. Inasema kuwa lengo la sheria ni kulinda haki na ustawi wa watu wenye ulemavu nchini. Inaeleza kuwa mtu mwenye ulemavu ni yeyote aliye na matatizo ya kudumu ya kimwili, kiakili, kiakademia, au ya hisia yanayomzuia kufanya shughuli za kila siku au kushiriki kikamilifu katika jamii.</w:t>
      </w:r>
    </w:p>
    <w:p w14:paraId="3BCA0458" w14:textId="1B342F5F" w:rsidR="00F01B1E" w:rsidRDefault="2DF21E12" w:rsidP="52B4856E">
      <w:pPr>
        <w:pStyle w:val="Heading2"/>
        <w:rPr>
          <w:rFonts w:asciiTheme="minorHAnsi" w:eastAsiaTheme="minorEastAsia" w:hAnsiTheme="minorHAnsi" w:cstheme="minorBidi"/>
          <w:b/>
          <w:bCs/>
          <w:color w:val="009C9B"/>
        </w:rPr>
      </w:pPr>
      <w:r w:rsidRPr="52B4856E">
        <w:rPr>
          <w:color w:val="009C9B"/>
        </w:rPr>
        <w:t>Sehemu ya II: Haki na Hadhari za Watu Wenye Ulemavu</w:t>
      </w:r>
    </w:p>
    <w:p w14:paraId="33714A09" w14:textId="1D5751F3" w:rsidR="00F01B1E" w:rsidRDefault="2DF21E12" w:rsidP="52B4856E">
      <w:pPr>
        <w:spacing w:before="240" w:after="240" w:line="360" w:lineRule="auto"/>
      </w:pPr>
      <w:r w:rsidRPr="52B4856E">
        <w:t>Sehemu hii inazungumzia haki za msingi za watu wenye ulemavu. Inasema wanapaswa kutendewa kwa haki na usawa. Wana haki ya kupata elimu, huduma za afya, ajira, na huduma za umma kama watu wengine. Hawapaswi kutengwa au kubaguliwa. Serikali na jamii wanapaswa kuhakikisha kuwa watu wenye ulemavu wanashiriki katika nyanja zote za maisha.</w:t>
      </w:r>
    </w:p>
    <w:p w14:paraId="08E3A60B" w14:textId="4AB10021"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III: Majukumu ya Serikali</w:t>
      </w:r>
    </w:p>
    <w:p w14:paraId="4734FC80" w14:textId="34D0759F" w:rsidR="00F01B1E" w:rsidRDefault="2DF21E12" w:rsidP="52B4856E">
      <w:pPr>
        <w:spacing w:before="240" w:after="240" w:line="360" w:lineRule="auto"/>
        <w:rPr>
          <w:b/>
          <w:bCs/>
        </w:rPr>
      </w:pPr>
      <w:r w:rsidRPr="52B4856E">
        <w:t>Sehemu hii inaeleza wajibu wa serikali katika kusaidia watu wenye ulemavu. Serikali lazima ihakikishe kuwa majengo ya umma, usafiri, shule, na hospitali vinapatikana kwa urahisi kwa watu wenye ulemavu. Pia inapaswa kuandaa mipango na programu za kuboresha maisha yao, ikiwa ni pamoja na kutoa fursa za ajira, elimu, na huduma za msaada.</w:t>
      </w:r>
    </w:p>
    <w:p w14:paraId="4D8B4A10" w14:textId="3C80C10F"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IV: Elimu na Mafunzo</w:t>
      </w:r>
    </w:p>
    <w:p w14:paraId="18680E27" w14:textId="668F5051" w:rsidR="00F01B1E" w:rsidRDefault="2DF21E12" w:rsidP="52B4856E">
      <w:pPr>
        <w:spacing w:before="240" w:after="240" w:line="360" w:lineRule="auto"/>
      </w:pPr>
      <w:r w:rsidRPr="52B4856E">
        <w:t xml:space="preserve">Sehemu hii inajikita kwenye masuala ya elimu. Inasema kuwa watu wenye ulemavu wana haki ya kupata elimu. Shule zinapaswa kuwapokea na kuwa na vifaa sahihi na walimu </w:t>
      </w:r>
      <w:r w:rsidRPr="52B4856E">
        <w:lastRenderedPageBreak/>
        <w:t>waliopata mafunzo ya kuwasaidia. Serikali pia inapaswa kutoa mafunzo maalum pale inapohitajika, na kuhakikisha kuwa wanafunzi wenye ulemavu wanaweza kuendelea na maisha ya shule na kazi kama wengine.</w:t>
      </w:r>
    </w:p>
    <w:p w14:paraId="42710A7E" w14:textId="31F99A27" w:rsidR="00F01B1E" w:rsidRDefault="2DF21E12" w:rsidP="52B4856E">
      <w:pPr>
        <w:pStyle w:val="Heading2"/>
        <w:rPr>
          <w:rFonts w:asciiTheme="minorHAnsi" w:eastAsiaTheme="minorEastAsia" w:hAnsiTheme="minorHAnsi" w:cstheme="minorBidi"/>
          <w:color w:val="009C9B"/>
        </w:rPr>
      </w:pPr>
      <w:r w:rsidRPr="52B4856E">
        <w:rPr>
          <w:color w:val="009C9B"/>
        </w:rPr>
        <w:t>Sehemu ya V: Ajira</w:t>
      </w:r>
    </w:p>
    <w:p w14:paraId="4E9D89F6" w14:textId="1A515FD1" w:rsidR="00F01B1E" w:rsidRDefault="2DF21E12" w:rsidP="52B4856E">
      <w:pPr>
        <w:spacing w:before="240" w:after="240" w:line="360" w:lineRule="auto"/>
      </w:pPr>
      <w:r w:rsidRPr="52B4856E">
        <w:t>Sehemu hii inasema kuwa watu wenye ulemavu wana haki ya kufanya kazi. Waajiri hawapaswi kukataa kuwaajiri kwa sababu tu ya ulemavu wao. Serikali inapaswa kusaidia kuunda ajira na programu za mafunzo kwa watu wenye ulemavu na kuhamasisha biashara kuwajiri. Hakupaswi kuwa na ubaguzi kazini.</w:t>
      </w:r>
    </w:p>
    <w:p w14:paraId="3C923CC2" w14:textId="10BE92E5" w:rsidR="00F01B1E" w:rsidRDefault="2DF21E12" w:rsidP="52B4856E">
      <w:pPr>
        <w:pStyle w:val="Heading2"/>
        <w:rPr>
          <w:rFonts w:asciiTheme="minorHAnsi" w:eastAsiaTheme="minorEastAsia" w:hAnsiTheme="minorHAnsi" w:cstheme="minorBidi"/>
          <w:b/>
          <w:bCs/>
          <w:color w:val="009C9B"/>
        </w:rPr>
      </w:pPr>
      <w:r w:rsidRPr="52B4856E">
        <w:rPr>
          <w:color w:val="009C9B"/>
        </w:rPr>
        <w:t>Sehemu ya VI: Huduma za Afya na Urejeshaji</w:t>
      </w:r>
    </w:p>
    <w:p w14:paraId="0CBDBE27" w14:textId="55898F62" w:rsidR="00F01B1E" w:rsidRDefault="2DF21E12" w:rsidP="52B4856E">
      <w:pPr>
        <w:spacing w:before="240" w:after="240" w:line="360" w:lineRule="auto"/>
      </w:pPr>
      <w:r w:rsidRPr="52B4856E">
        <w:t>Hapa, sheria inasema kuwa watu wenye ulemavu wanapaswa kupata matibabu sahihi, tiba, na vifaa kama vile viti vya magurudumu au vifaa vya usaidizi wa kusikia iwapo wanavihitaji. Huduma za afya zinapaswa kupatikana kwa urahisi na kuwa nafuu. Pia kunapaswa kuwa na programu za kusaidia watu kupona na kujitegemea baada ya majeraha au magonjwa.</w:t>
      </w:r>
    </w:p>
    <w:p w14:paraId="115921A5" w14:textId="4BB6A369" w:rsidR="00F01B1E" w:rsidRDefault="2DF21E12" w:rsidP="52B4856E">
      <w:pPr>
        <w:pStyle w:val="Heading2"/>
        <w:rPr>
          <w:rFonts w:asciiTheme="minorHAnsi" w:eastAsiaTheme="minorEastAsia" w:hAnsiTheme="minorHAnsi" w:cstheme="minorBidi"/>
          <w:b/>
          <w:bCs/>
          <w:color w:val="009C9B"/>
        </w:rPr>
      </w:pPr>
      <w:r w:rsidRPr="52B4856E">
        <w:rPr>
          <w:color w:val="009C9B"/>
        </w:rPr>
        <w:t>Sehemu ya VII: Upatikanaji na Uhamaji</w:t>
      </w:r>
    </w:p>
    <w:p w14:paraId="18D55E70" w14:textId="48D233E3" w:rsidR="00F01B1E" w:rsidRDefault="2DF21E12" w:rsidP="52B4856E">
      <w:pPr>
        <w:spacing w:before="240" w:after="240" w:line="360" w:lineRule="auto"/>
      </w:pPr>
      <w:r w:rsidRPr="52B4856E">
        <w:t>Sehemu hii inahusu kurahisisha usafiri na harakati za watu wenye ulemavu. Majengo, barabara, mabasi, na maeneo mengine ya umma yanapaswa kujengwa kwa namna ambayo ni rahisi kwa watu wenye ulemavu kuyatumia. Alama, milango ya kuingilia, na miundombinu inapaswa kutengenezwa kwa kuzingatia mahitaji ya kila mtu.</w:t>
      </w:r>
    </w:p>
    <w:p w14:paraId="00EF05B9" w14:textId="60A5E094" w:rsidR="00F01B1E" w:rsidRDefault="2DF21E12" w:rsidP="52B4856E">
      <w:pPr>
        <w:pStyle w:val="Heading2"/>
        <w:rPr>
          <w:rFonts w:asciiTheme="minorHAnsi" w:eastAsiaTheme="minorEastAsia" w:hAnsiTheme="minorHAnsi" w:cstheme="minorBidi"/>
          <w:b/>
          <w:bCs/>
          <w:color w:val="009C9B"/>
        </w:rPr>
      </w:pPr>
      <w:r w:rsidRPr="52B4856E">
        <w:rPr>
          <w:color w:val="009C9B"/>
        </w:rPr>
        <w:t>Sehemu ya VIII: Mawasiliano</w:t>
      </w:r>
    </w:p>
    <w:p w14:paraId="2FA8C742" w14:textId="25E9A11F" w:rsidR="00F01B1E" w:rsidRDefault="2DF21E12" w:rsidP="52B4856E">
      <w:pPr>
        <w:spacing w:before="240" w:after="240" w:line="360" w:lineRule="auto"/>
      </w:pPr>
      <w:r w:rsidRPr="52B4856E">
        <w:t>Sheria inasema kuwa watu wenye ulemavu wanapaswa kupata taarifa na kuwasiliana kwa urahisi. Hii inajumuisha matumizi ya maandishi ya Braille kwa wasioona, lugha ya alama kwa viziwi, na lugha rahisi inapohitajika. Serikali inapaswa kuhakikisha kuwa mawasiliano yanapatikana kwa wote.</w:t>
      </w:r>
    </w:p>
    <w:p w14:paraId="2698EA8A" w14:textId="6869C252"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IX: Ushiriki katika Maisha ya Kisiasa na Umma</w:t>
      </w:r>
    </w:p>
    <w:p w14:paraId="5EC96265" w14:textId="3DC43F12" w:rsidR="00F01B1E" w:rsidRDefault="2DF21E12" w:rsidP="52B4856E">
      <w:pPr>
        <w:spacing w:before="240" w:after="240" w:line="360" w:lineRule="auto"/>
        <w:rPr>
          <w:b/>
          <w:bCs/>
        </w:rPr>
      </w:pPr>
      <w:r w:rsidRPr="52B4856E">
        <w:t>Sehemu hii inahakikisha kuwa watu wenye ulemavu wanaweza kushiriki katika kufanya maamuzi na kushiriki katika siasa. Wana haki ya kupiga kura, kuwa viongozi, kuhudhuria mikutano, na kutoa maoni yao hadharani. Hakuna anayepaswa kuwazuia kushiriki katika shughuli hizi muhimu.</w:t>
      </w:r>
    </w:p>
    <w:p w14:paraId="397302B5" w14:textId="700E98BE" w:rsidR="00F01B1E" w:rsidRDefault="00AE4E9C">
      <w:r>
        <w:lastRenderedPageBreak/>
        <w:br w:type="page"/>
      </w:r>
    </w:p>
    <w:p w14:paraId="4431EF0F" w14:textId="6A2AC0AE" w:rsidR="00F01B1E" w:rsidRDefault="2DF21E12" w:rsidP="52B4856E">
      <w:pPr>
        <w:pStyle w:val="Heading2"/>
        <w:rPr>
          <w:rFonts w:asciiTheme="minorHAnsi" w:eastAsiaTheme="minorEastAsia" w:hAnsiTheme="minorHAnsi" w:cstheme="minorBidi"/>
          <w:b/>
          <w:bCs/>
          <w:color w:val="009C9B"/>
        </w:rPr>
      </w:pPr>
      <w:r w:rsidRPr="52B4856E">
        <w:rPr>
          <w:color w:val="009C9B"/>
        </w:rPr>
        <w:lastRenderedPageBreak/>
        <w:t>Sehemu ya X: Baraza la Kitaifa na Mabaraza ya Ngazi za Chini</w:t>
      </w:r>
    </w:p>
    <w:p w14:paraId="16EFB887" w14:textId="00D7931A" w:rsidR="00F01B1E" w:rsidRDefault="2DF21E12" w:rsidP="52B4856E">
      <w:pPr>
        <w:spacing w:before="240" w:after="240" w:line="360" w:lineRule="auto"/>
      </w:pPr>
      <w:r w:rsidRPr="52B4856E">
        <w:t>Sehemu hii inaeleza jinsi mabaraza yanavyoundwa katika ngazi tofauti—kitaifa, kikanda, wilaya, na kijiji—ili kusaidia kutekeleza sheria. Mabaraza haya yanajumuisha viongozi, maafisa wa afya, wanajamii, na watu wenye ulemavu. Wanapanga shughuli, kutatua matatizo, kukusanya taarifa, na kuripoti jinsi watu wenye ulemavu wanavyosaidiwa.</w:t>
      </w:r>
    </w:p>
    <w:p w14:paraId="3FEAC4FF" w14:textId="40DD9BF3"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XI: Msaada wa Kifedha na Mfuko Maalum</w:t>
      </w:r>
    </w:p>
    <w:p w14:paraId="16381C85" w14:textId="720A51B0" w:rsidR="00F01B1E" w:rsidRDefault="2DF21E12" w:rsidP="52B4856E">
      <w:pPr>
        <w:spacing w:before="240" w:after="240" w:line="360" w:lineRule="auto"/>
      </w:pPr>
      <w:r w:rsidRPr="52B4856E">
        <w:t>Sehemu hii inahusu mfuko maalum ulioanzishwa kusaidia watu wenye ulemavu. Serikali na makundi mengine yanaweza kuchangia fedha katika mfuko huu. Fedha hizo zinatumika kulipia huduma, vifaa, na programu zinazolenga kuboresha maisha ya watu wenye ulemavu.</w:t>
      </w:r>
    </w:p>
    <w:p w14:paraId="76A9156B" w14:textId="4F8F66E0" w:rsidR="00F01B1E" w:rsidRDefault="2DF21E12" w:rsidP="52B4856E">
      <w:pPr>
        <w:pStyle w:val="Heading2"/>
        <w:rPr>
          <w:rFonts w:asciiTheme="minorHAnsi" w:eastAsiaTheme="minorEastAsia" w:hAnsiTheme="minorHAnsi" w:cstheme="minorBidi"/>
          <w:b/>
          <w:bCs/>
          <w:color w:val="009C9B"/>
          <w:sz w:val="24"/>
          <w:szCs w:val="24"/>
        </w:rPr>
      </w:pPr>
      <w:r w:rsidRPr="52B4856E">
        <w:rPr>
          <w:color w:val="009C9B"/>
        </w:rPr>
        <w:t>Sehemu ya XII: Makosa na Adhabu</w:t>
      </w:r>
    </w:p>
    <w:p w14:paraId="30E104BC" w14:textId="2594E4BB" w:rsidR="00F01B1E" w:rsidRDefault="2DF21E12" w:rsidP="52B4856E">
      <w:pPr>
        <w:spacing w:before="240" w:after="240" w:line="360" w:lineRule="auto"/>
      </w:pPr>
      <w:r w:rsidRPr="52B4856E">
        <w:t>Sheria pia inaweka sheria kuhusu adhabu kwa wale wanaowatendea watu wenye ulemavu isivyo haki. Iwapo mtu atavunja sheria—kwa mfano, kwa kukataa kutoa huduma au kumbagua mtu mwenye ulemavu—anaweza kufikishwa mahakamani na kupewa adhabu.</w:t>
      </w:r>
    </w:p>
    <w:p w14:paraId="066265DB" w14:textId="0C85135C" w:rsidR="00F01B1E" w:rsidRDefault="2DF21E12" w:rsidP="52B4856E">
      <w:pPr>
        <w:pStyle w:val="Heading2"/>
        <w:rPr>
          <w:rFonts w:asciiTheme="minorHAnsi" w:eastAsiaTheme="minorEastAsia" w:hAnsiTheme="minorHAnsi" w:cstheme="minorBidi"/>
          <w:b/>
          <w:bCs/>
          <w:color w:val="009C9B"/>
        </w:rPr>
      </w:pPr>
      <w:r w:rsidRPr="52B4856E">
        <w:rPr>
          <w:color w:val="009C9B"/>
        </w:rPr>
        <w:t>Sehemu ya XIII: Mengineyo</w:t>
      </w:r>
    </w:p>
    <w:p w14:paraId="1715614A" w14:textId="2FC233C9" w:rsidR="00F01B1E" w:rsidRDefault="2DF21E12" w:rsidP="52B4856E">
      <w:pPr>
        <w:spacing w:before="240" w:after="240" w:line="360" w:lineRule="auto"/>
      </w:pPr>
      <w:r w:rsidRPr="46B424EE">
        <w:t>Sehemu hii ya mwisho inahusu masuala yaliyosalia. Inampa serikali mamlaka ya kuweka kanuni na miongozo ya kusaidia kutekeleza sheria hii. Pia inasema kuwa sheria za zamani zinazopingana na Sheria hii zinapaswa kurekebishwa au kufutwa.</w:t>
      </w:r>
    </w:p>
    <w:p w14:paraId="1B3A041A" w14:textId="3FE6ABB8" w:rsidR="07957B4B" w:rsidRDefault="07957B4B" w:rsidP="46B424EE">
      <w:pPr>
        <w:pStyle w:val="Heading1"/>
        <w:rPr>
          <w:rFonts w:ascii="Aptos" w:eastAsia="Aptos" w:hAnsi="Aptos" w:cs="Aptos"/>
          <w:color w:val="009C9B"/>
          <w:sz w:val="32"/>
          <w:szCs w:val="32"/>
        </w:rPr>
      </w:pPr>
      <w:r w:rsidRPr="46B424EE">
        <w:rPr>
          <w:color w:val="009C9B"/>
          <w:sz w:val="32"/>
          <w:szCs w:val="32"/>
        </w:rPr>
        <w:t>Hitimisho</w:t>
      </w:r>
    </w:p>
    <w:p w14:paraId="0AEAC2E2" w14:textId="1478DD08" w:rsidR="07957B4B" w:rsidRDefault="07957B4B" w:rsidP="46B424EE">
      <w:pPr>
        <w:spacing w:before="240" w:after="240" w:line="360" w:lineRule="auto"/>
        <w:rPr>
          <w:rFonts w:ascii="Aptos" w:eastAsia="Aptos" w:hAnsi="Aptos" w:cs="Aptos"/>
        </w:rPr>
      </w:pPr>
      <w:r w:rsidRPr="46B424EE">
        <w:rPr>
          <w:rFonts w:ascii="Aptos" w:eastAsia="Aptos" w:hAnsi="Aptos" w:cs="Aptos"/>
        </w:rPr>
        <w:t>Sheria ya Watu Wenye Ulemavu ya mwaka 2010 ni hatua muhimu ya kuhakikisha haki, heshima, na usawa kwa watu wenye ulemavu nchini Tanzania. Kwa kuweka misingi ya ushirikishwaji, upatikanaji wa huduma, na ulinzi wa haki zao katika nyanja zote za maisha—ikiwemo elimu, ajira, afya, na ushiriki wa kisiasa—sheria hii inalenga kuwawezesha watu wenye ulemavu kuishi kwa kujitegemea na kushiriki kikamilifu katika jamii. Utekelezaji wa sheria hii unahitaji dhamira ya kweli kutoka kwa serikali, jamii, na taasisi binafsi ili kuondoa vikwazo na kujenga mazingira jumuishi kwa kila mtu bila ubaguzi.</w:t>
      </w:r>
    </w:p>
    <w:p w14:paraId="5D30146A" w14:textId="606D2137" w:rsidR="46B424EE" w:rsidRDefault="46B424EE" w:rsidP="46B424EE">
      <w:pPr>
        <w:spacing w:before="240" w:after="240" w:line="360" w:lineRule="auto"/>
      </w:pPr>
    </w:p>
    <w:p w14:paraId="2C078E63" w14:textId="65277B4D" w:rsidR="00F01B1E" w:rsidRDefault="00F01B1E" w:rsidP="52B4856E">
      <w:pPr>
        <w:spacing w:line="360" w:lineRule="auto"/>
      </w:pPr>
    </w:p>
    <w:sectPr w:rsidR="00F01B1E">
      <w:pgSz w:w="12240" w:h="15840"/>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A2314"/>
    <w:rsid w:val="00831272"/>
    <w:rsid w:val="00AE4E9C"/>
    <w:rsid w:val="00F01B1E"/>
    <w:rsid w:val="07957B4B"/>
    <w:rsid w:val="0B8C103B"/>
    <w:rsid w:val="113ECF31"/>
    <w:rsid w:val="1D114E1E"/>
    <w:rsid w:val="1F179854"/>
    <w:rsid w:val="22382EA7"/>
    <w:rsid w:val="27DB0AD4"/>
    <w:rsid w:val="2DF21E12"/>
    <w:rsid w:val="37D68588"/>
    <w:rsid w:val="46B424EE"/>
    <w:rsid w:val="4A94E742"/>
    <w:rsid w:val="4BD1B92F"/>
    <w:rsid w:val="52B4856E"/>
    <w:rsid w:val="56B21691"/>
    <w:rsid w:val="67A82AD4"/>
    <w:rsid w:val="68BA2314"/>
    <w:rsid w:val="69957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2314"/>
  <w15:chartTrackingRefBased/>
  <w15:docId w15:val="{EE9A4A83-0CDC-4549-BDAE-3D19EB2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4658</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Maulid</dc:creator>
  <cp:keywords/>
  <dc:description/>
  <cp:lastModifiedBy>Laurie-Ann Mafusire</cp:lastModifiedBy>
  <cp:revision>2</cp:revision>
  <dcterms:created xsi:type="dcterms:W3CDTF">2025-05-14T07:19:00Z</dcterms:created>
  <dcterms:modified xsi:type="dcterms:W3CDTF">2025-05-19T14:43:00Z</dcterms:modified>
</cp:coreProperties>
</file>