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195E" w:rsidRDefault="00000000">
      <w:pPr>
        <w:pStyle w:val="Title"/>
        <w:rPr>
          <w:b w:val="0"/>
          <w:bCs w:val="0"/>
        </w:rPr>
      </w:pPr>
      <w:r>
        <w:rPr>
          <w:b w:val="0"/>
          <w:bCs w:val="0"/>
        </w:rPr>
        <w:t>Manos que guían, educación que se siente: La labor docente en la atención al estudiante con sordoceguera</w:t>
      </w:r>
    </w:p>
    <w:p w14:paraId="00000002" w14:textId="77777777" w:rsidR="00ED195E" w:rsidRDefault="00ED195E">
      <w:pPr>
        <w:pBdr>
          <w:top w:val="nil"/>
          <w:left w:val="nil"/>
          <w:bottom w:val="nil"/>
          <w:right w:val="nil"/>
          <w:between w:val="nil"/>
        </w:pBdr>
        <w:spacing w:before="276" w:line="360" w:lineRule="auto"/>
        <w:rPr>
          <w:color w:val="000000"/>
          <w:sz w:val="24"/>
          <w:szCs w:val="24"/>
        </w:rPr>
      </w:pPr>
    </w:p>
    <w:p w14:paraId="00000003" w14:textId="77777777" w:rsidR="00ED195E" w:rsidRDefault="00000000">
      <w:pPr>
        <w:pBdr>
          <w:top w:val="nil"/>
          <w:left w:val="nil"/>
          <w:bottom w:val="nil"/>
          <w:right w:val="nil"/>
          <w:between w:val="nil"/>
        </w:pBdr>
        <w:spacing w:before="1" w:line="360" w:lineRule="auto"/>
        <w:rPr>
          <w:color w:val="000000"/>
          <w:sz w:val="24"/>
          <w:szCs w:val="24"/>
        </w:rPr>
      </w:pPr>
      <w:r>
        <w:rPr>
          <w:color w:val="000000"/>
          <w:sz w:val="24"/>
          <w:szCs w:val="24"/>
        </w:rPr>
        <w:t>Presentado por:</w:t>
      </w:r>
    </w:p>
    <w:p w14:paraId="00000004" w14:textId="77777777" w:rsidR="00ED195E" w:rsidRDefault="00000000">
      <w:pPr>
        <w:pBdr>
          <w:top w:val="nil"/>
          <w:left w:val="nil"/>
          <w:bottom w:val="nil"/>
          <w:right w:val="nil"/>
          <w:between w:val="nil"/>
        </w:pBdr>
        <w:spacing w:before="238" w:line="360" w:lineRule="auto"/>
        <w:rPr>
          <w:color w:val="000000"/>
          <w:sz w:val="24"/>
          <w:szCs w:val="24"/>
        </w:rPr>
      </w:pPr>
      <w:r>
        <w:rPr>
          <w:color w:val="000000"/>
          <w:sz w:val="24"/>
          <w:szCs w:val="24"/>
        </w:rPr>
        <w:t>Gabriela Jacqueline Unocc Paredes</w:t>
      </w:r>
    </w:p>
    <w:p w14:paraId="00000005" w14:textId="77777777" w:rsidR="00ED195E" w:rsidRDefault="00000000">
      <w:pPr>
        <w:spacing w:before="37" w:line="360" w:lineRule="auto"/>
        <w:rPr>
          <w:sz w:val="24"/>
          <w:szCs w:val="24"/>
        </w:rPr>
      </w:pPr>
      <w:r>
        <w:rPr>
          <w:sz w:val="24"/>
          <w:szCs w:val="24"/>
        </w:rPr>
        <w:t>Estudiante de X ciclo matriculada en el Semestre 2025-II</w:t>
      </w:r>
    </w:p>
    <w:p w14:paraId="00000006" w14:textId="77777777" w:rsidR="00ED195E" w:rsidRDefault="00000000">
      <w:pPr>
        <w:pBdr>
          <w:top w:val="nil"/>
          <w:left w:val="nil"/>
          <w:bottom w:val="nil"/>
          <w:right w:val="nil"/>
          <w:between w:val="nil"/>
        </w:pBdr>
        <w:spacing w:before="38" w:line="360" w:lineRule="auto"/>
        <w:ind w:right="4277"/>
        <w:rPr>
          <w:color w:val="000000"/>
          <w:sz w:val="24"/>
          <w:szCs w:val="24"/>
        </w:rPr>
      </w:pPr>
      <w:r>
        <w:rPr>
          <w:color w:val="000000"/>
          <w:sz w:val="24"/>
          <w:szCs w:val="24"/>
        </w:rPr>
        <w:t xml:space="preserve">Universidad Femenina del Sagrado Corazón Escuela Profesional de Educación Especial </w:t>
      </w:r>
      <w:hyperlink r:id="rId4">
        <w:r>
          <w:rPr>
            <w:color w:val="000000"/>
            <w:sz w:val="24"/>
            <w:szCs w:val="24"/>
          </w:rPr>
          <w:t>gabriela.unoccp@unife</w:t>
        </w:r>
      </w:hyperlink>
      <w:r>
        <w:rPr>
          <w:color w:val="000000"/>
          <w:sz w:val="24"/>
          <w:szCs w:val="24"/>
        </w:rPr>
        <w:t>.pe</w:t>
      </w:r>
    </w:p>
    <w:p w14:paraId="00000007" w14:textId="77777777" w:rsidR="00ED195E" w:rsidRDefault="00ED195E">
      <w:pPr>
        <w:pBdr>
          <w:top w:val="nil"/>
          <w:left w:val="nil"/>
          <w:bottom w:val="nil"/>
          <w:right w:val="nil"/>
          <w:between w:val="nil"/>
        </w:pBdr>
        <w:spacing w:line="360" w:lineRule="auto"/>
        <w:rPr>
          <w:color w:val="000000"/>
          <w:sz w:val="24"/>
          <w:szCs w:val="24"/>
        </w:rPr>
      </w:pPr>
    </w:p>
    <w:p w14:paraId="00000008" w14:textId="77777777" w:rsidR="00ED195E" w:rsidRDefault="00ED195E">
      <w:pPr>
        <w:pBdr>
          <w:top w:val="nil"/>
          <w:left w:val="nil"/>
          <w:bottom w:val="nil"/>
          <w:right w:val="nil"/>
          <w:between w:val="nil"/>
        </w:pBdr>
        <w:spacing w:before="185" w:line="360" w:lineRule="auto"/>
        <w:rPr>
          <w:color w:val="000000"/>
          <w:sz w:val="24"/>
          <w:szCs w:val="24"/>
        </w:rPr>
      </w:pPr>
    </w:p>
    <w:p w14:paraId="00000009" w14:textId="77777777" w:rsidR="00ED195E" w:rsidRDefault="00000000">
      <w:pPr>
        <w:pBdr>
          <w:top w:val="nil"/>
          <w:left w:val="nil"/>
          <w:bottom w:val="nil"/>
          <w:right w:val="nil"/>
          <w:between w:val="nil"/>
        </w:pBdr>
        <w:spacing w:line="360" w:lineRule="auto"/>
        <w:rPr>
          <w:color w:val="000000"/>
          <w:sz w:val="24"/>
          <w:szCs w:val="24"/>
        </w:rPr>
      </w:pPr>
      <w:r>
        <w:rPr>
          <w:color w:val="000000"/>
          <w:sz w:val="24"/>
          <w:szCs w:val="24"/>
        </w:rPr>
        <w:t>Avalado por:</w:t>
      </w:r>
    </w:p>
    <w:p w14:paraId="0000000A" w14:textId="77777777" w:rsidR="00ED195E" w:rsidRDefault="00000000">
      <w:pPr>
        <w:pBdr>
          <w:top w:val="nil"/>
          <w:left w:val="nil"/>
          <w:bottom w:val="nil"/>
          <w:right w:val="nil"/>
          <w:between w:val="nil"/>
        </w:pBdr>
        <w:spacing w:before="238" w:line="360" w:lineRule="auto"/>
        <w:rPr>
          <w:color w:val="000000"/>
          <w:sz w:val="24"/>
          <w:szCs w:val="24"/>
        </w:rPr>
      </w:pPr>
      <w:r>
        <w:rPr>
          <w:color w:val="000000"/>
          <w:sz w:val="24"/>
          <w:szCs w:val="24"/>
        </w:rPr>
        <w:t>John Williams Hinojosa Yampi</w:t>
      </w:r>
    </w:p>
    <w:p w14:paraId="0000000B" w14:textId="77777777" w:rsidR="00ED195E" w:rsidRDefault="00000000">
      <w:pPr>
        <w:spacing w:before="38" w:line="360" w:lineRule="auto"/>
        <w:ind w:right="4277"/>
        <w:rPr>
          <w:sz w:val="24"/>
          <w:szCs w:val="24"/>
        </w:rPr>
      </w:pPr>
      <w:r>
        <w:rPr>
          <w:sz w:val="24"/>
          <w:szCs w:val="24"/>
        </w:rPr>
        <w:t xml:space="preserve">Docente de la asignatura “Sistema Braille” Universidad Femenina del Sagrado Corazón </w:t>
      </w:r>
      <w:hyperlink r:id="rId5">
        <w:r>
          <w:rPr>
            <w:sz w:val="24"/>
            <w:szCs w:val="24"/>
          </w:rPr>
          <w:t>jhinojosay@unife.edu.pe</w:t>
        </w:r>
      </w:hyperlink>
    </w:p>
    <w:p w14:paraId="0000000C" w14:textId="77777777" w:rsidR="00ED195E" w:rsidRDefault="00ED195E">
      <w:pPr>
        <w:pBdr>
          <w:top w:val="nil"/>
          <w:left w:val="nil"/>
          <w:bottom w:val="nil"/>
          <w:right w:val="nil"/>
          <w:between w:val="nil"/>
        </w:pBdr>
        <w:spacing w:before="238" w:line="360" w:lineRule="auto"/>
        <w:rPr>
          <w:color w:val="000000"/>
          <w:sz w:val="24"/>
          <w:szCs w:val="24"/>
        </w:rPr>
      </w:pPr>
    </w:p>
    <w:p w14:paraId="0000000D" w14:textId="77777777" w:rsidR="00ED195E" w:rsidRDefault="00000000">
      <w:pPr>
        <w:pBdr>
          <w:top w:val="nil"/>
          <w:left w:val="nil"/>
          <w:bottom w:val="nil"/>
          <w:right w:val="nil"/>
          <w:between w:val="nil"/>
        </w:pBdr>
        <w:spacing w:line="360" w:lineRule="auto"/>
        <w:rPr>
          <w:color w:val="000000"/>
          <w:sz w:val="24"/>
          <w:szCs w:val="24"/>
        </w:rPr>
      </w:pPr>
      <w:r>
        <w:rPr>
          <w:color w:val="000000"/>
          <w:sz w:val="24"/>
          <w:szCs w:val="24"/>
        </w:rPr>
        <w:t>Fecha: Noviembre, 2025</w:t>
      </w:r>
    </w:p>
    <w:p w14:paraId="0000000E" w14:textId="77777777" w:rsidR="00ED195E" w:rsidRDefault="00ED195E">
      <w:pPr>
        <w:pBdr>
          <w:top w:val="nil"/>
          <w:left w:val="nil"/>
          <w:bottom w:val="nil"/>
          <w:right w:val="nil"/>
          <w:between w:val="nil"/>
        </w:pBdr>
        <w:spacing w:line="360" w:lineRule="auto"/>
        <w:rPr>
          <w:color w:val="000000"/>
          <w:sz w:val="24"/>
          <w:szCs w:val="24"/>
        </w:rPr>
      </w:pPr>
    </w:p>
    <w:p w14:paraId="0000000F" w14:textId="77777777" w:rsidR="00ED195E" w:rsidRDefault="00ED195E">
      <w:pPr>
        <w:pBdr>
          <w:top w:val="nil"/>
          <w:left w:val="nil"/>
          <w:bottom w:val="nil"/>
          <w:right w:val="nil"/>
          <w:between w:val="nil"/>
        </w:pBdr>
        <w:spacing w:line="360" w:lineRule="auto"/>
        <w:rPr>
          <w:color w:val="000000"/>
          <w:sz w:val="24"/>
          <w:szCs w:val="24"/>
        </w:rPr>
      </w:pPr>
    </w:p>
    <w:p w14:paraId="00000010" w14:textId="77777777" w:rsidR="00ED195E" w:rsidRDefault="00ED195E">
      <w:pPr>
        <w:pBdr>
          <w:top w:val="nil"/>
          <w:left w:val="nil"/>
          <w:bottom w:val="nil"/>
          <w:right w:val="nil"/>
          <w:between w:val="nil"/>
        </w:pBdr>
        <w:spacing w:line="360" w:lineRule="auto"/>
        <w:rPr>
          <w:color w:val="000000"/>
          <w:sz w:val="24"/>
          <w:szCs w:val="24"/>
        </w:rPr>
      </w:pPr>
    </w:p>
    <w:p w14:paraId="00000011" w14:textId="77777777" w:rsidR="00ED195E" w:rsidRDefault="00ED195E">
      <w:pPr>
        <w:pBdr>
          <w:top w:val="nil"/>
          <w:left w:val="nil"/>
          <w:bottom w:val="nil"/>
          <w:right w:val="nil"/>
          <w:between w:val="nil"/>
        </w:pBdr>
        <w:spacing w:line="360" w:lineRule="auto"/>
        <w:rPr>
          <w:color w:val="000000"/>
          <w:sz w:val="24"/>
          <w:szCs w:val="24"/>
        </w:rPr>
      </w:pPr>
    </w:p>
    <w:p w14:paraId="00000012" w14:textId="77777777" w:rsidR="00ED195E" w:rsidRDefault="00ED195E">
      <w:pPr>
        <w:pBdr>
          <w:top w:val="nil"/>
          <w:left w:val="nil"/>
          <w:bottom w:val="nil"/>
          <w:right w:val="nil"/>
          <w:between w:val="nil"/>
        </w:pBdr>
        <w:spacing w:line="360" w:lineRule="auto"/>
        <w:rPr>
          <w:color w:val="000000"/>
          <w:sz w:val="24"/>
          <w:szCs w:val="24"/>
        </w:rPr>
      </w:pPr>
    </w:p>
    <w:p w14:paraId="00000013" w14:textId="77777777" w:rsidR="00ED195E" w:rsidRDefault="00ED195E">
      <w:pPr>
        <w:pBdr>
          <w:top w:val="nil"/>
          <w:left w:val="nil"/>
          <w:bottom w:val="nil"/>
          <w:right w:val="nil"/>
          <w:between w:val="nil"/>
        </w:pBdr>
        <w:spacing w:line="360" w:lineRule="auto"/>
        <w:rPr>
          <w:color w:val="000000"/>
          <w:sz w:val="24"/>
          <w:szCs w:val="24"/>
        </w:rPr>
      </w:pPr>
    </w:p>
    <w:p w14:paraId="00000014" w14:textId="77777777" w:rsidR="00ED195E" w:rsidRDefault="00ED195E">
      <w:pPr>
        <w:pBdr>
          <w:top w:val="nil"/>
          <w:left w:val="nil"/>
          <w:bottom w:val="nil"/>
          <w:right w:val="nil"/>
          <w:between w:val="nil"/>
        </w:pBdr>
        <w:spacing w:line="360" w:lineRule="auto"/>
        <w:rPr>
          <w:color w:val="000000"/>
          <w:sz w:val="24"/>
          <w:szCs w:val="24"/>
        </w:rPr>
      </w:pPr>
    </w:p>
    <w:p w14:paraId="00000015" w14:textId="77777777" w:rsidR="00ED195E" w:rsidRDefault="00ED195E">
      <w:pPr>
        <w:pBdr>
          <w:top w:val="nil"/>
          <w:left w:val="nil"/>
          <w:bottom w:val="nil"/>
          <w:right w:val="nil"/>
          <w:between w:val="nil"/>
        </w:pBdr>
        <w:spacing w:line="360" w:lineRule="auto"/>
        <w:rPr>
          <w:color w:val="000000"/>
          <w:sz w:val="24"/>
          <w:szCs w:val="24"/>
        </w:rPr>
      </w:pPr>
    </w:p>
    <w:p w14:paraId="00000016" w14:textId="77777777" w:rsidR="00ED195E" w:rsidRDefault="00ED195E">
      <w:pPr>
        <w:pBdr>
          <w:top w:val="nil"/>
          <w:left w:val="nil"/>
          <w:bottom w:val="nil"/>
          <w:right w:val="nil"/>
          <w:between w:val="nil"/>
        </w:pBdr>
        <w:spacing w:line="360" w:lineRule="auto"/>
        <w:rPr>
          <w:color w:val="000000"/>
          <w:sz w:val="24"/>
          <w:szCs w:val="24"/>
        </w:rPr>
      </w:pPr>
    </w:p>
    <w:p w14:paraId="00000017" w14:textId="77777777" w:rsidR="00ED195E" w:rsidRDefault="00ED195E">
      <w:pPr>
        <w:pBdr>
          <w:top w:val="nil"/>
          <w:left w:val="nil"/>
          <w:bottom w:val="nil"/>
          <w:right w:val="nil"/>
          <w:between w:val="nil"/>
        </w:pBdr>
        <w:spacing w:before="163" w:line="360" w:lineRule="auto"/>
        <w:rPr>
          <w:sz w:val="24"/>
          <w:szCs w:val="24"/>
        </w:rPr>
      </w:pPr>
    </w:p>
    <w:p w14:paraId="00000018" w14:textId="77777777" w:rsidR="00ED195E" w:rsidRDefault="00ED195E">
      <w:pPr>
        <w:pBdr>
          <w:top w:val="nil"/>
          <w:left w:val="nil"/>
          <w:bottom w:val="nil"/>
          <w:right w:val="nil"/>
          <w:between w:val="nil"/>
        </w:pBdr>
        <w:spacing w:before="163" w:line="360" w:lineRule="auto"/>
        <w:rPr>
          <w:sz w:val="24"/>
          <w:szCs w:val="24"/>
        </w:rPr>
      </w:pPr>
    </w:p>
    <w:p w14:paraId="00000019" w14:textId="77777777" w:rsidR="00ED195E" w:rsidRDefault="00ED195E">
      <w:pPr>
        <w:pBdr>
          <w:top w:val="nil"/>
          <w:left w:val="nil"/>
          <w:bottom w:val="nil"/>
          <w:right w:val="nil"/>
          <w:between w:val="nil"/>
        </w:pBdr>
        <w:spacing w:before="163" w:line="360" w:lineRule="auto"/>
        <w:rPr>
          <w:sz w:val="24"/>
          <w:szCs w:val="24"/>
        </w:rPr>
      </w:pPr>
    </w:p>
    <w:p w14:paraId="0000001A" w14:textId="77777777" w:rsidR="00ED195E" w:rsidRDefault="00ED195E">
      <w:pPr>
        <w:pBdr>
          <w:top w:val="nil"/>
          <w:left w:val="nil"/>
          <w:bottom w:val="nil"/>
          <w:right w:val="nil"/>
          <w:between w:val="nil"/>
        </w:pBdr>
        <w:spacing w:before="163" w:line="360" w:lineRule="auto"/>
        <w:rPr>
          <w:sz w:val="24"/>
          <w:szCs w:val="24"/>
        </w:rPr>
      </w:pPr>
    </w:p>
    <w:p w14:paraId="0000001B" w14:textId="77777777" w:rsidR="00ED195E" w:rsidRDefault="00ED195E">
      <w:pPr>
        <w:pBdr>
          <w:top w:val="nil"/>
          <w:left w:val="nil"/>
          <w:bottom w:val="nil"/>
          <w:right w:val="nil"/>
          <w:between w:val="nil"/>
        </w:pBdr>
        <w:spacing w:before="163" w:line="360" w:lineRule="auto"/>
        <w:rPr>
          <w:sz w:val="24"/>
          <w:szCs w:val="24"/>
        </w:rPr>
      </w:pPr>
    </w:p>
    <w:p w14:paraId="0000001C" w14:textId="77777777" w:rsidR="00ED195E" w:rsidRDefault="00000000">
      <w:pPr>
        <w:pStyle w:val="Heading1"/>
        <w:rPr>
          <w:b w:val="0"/>
          <w:bCs w:val="0"/>
          <w:sz w:val="24"/>
          <w:szCs w:val="24"/>
        </w:rPr>
      </w:pPr>
      <w:r>
        <w:rPr>
          <w:b w:val="0"/>
          <w:bCs w:val="0"/>
          <w:sz w:val="24"/>
          <w:szCs w:val="24"/>
        </w:rPr>
        <w:lastRenderedPageBreak/>
        <w:t>RESUMEN</w:t>
      </w:r>
    </w:p>
    <w:p w14:paraId="0000001D" w14:textId="77777777" w:rsidR="00ED195E" w:rsidRDefault="00000000">
      <w:pPr>
        <w:pBdr>
          <w:top w:val="nil"/>
          <w:left w:val="nil"/>
          <w:bottom w:val="nil"/>
          <w:right w:val="nil"/>
          <w:between w:val="nil"/>
        </w:pBdr>
        <w:spacing w:before="238" w:line="360" w:lineRule="auto"/>
        <w:ind w:right="42"/>
        <w:rPr>
          <w:color w:val="000000"/>
          <w:sz w:val="24"/>
          <w:szCs w:val="24"/>
        </w:rPr>
      </w:pPr>
      <w:r>
        <w:rPr>
          <w:color w:val="000000"/>
          <w:sz w:val="24"/>
          <w:szCs w:val="24"/>
        </w:rPr>
        <w:t>El rol del docente trasciende la simple acción de enseñar: implica acompañar, sostener y facilitar el acceso al aprendizaje, especialmente en contextos donde la educación presenta barreras significativas. Este ensayo aborda la labor docente en la educación de estudiantes con sordoceguera, una discapacidad caracterizada por la combinación de deficiencias auditivas y visuales que afecta gravemente la comunicación, la movilidad y el acceso a la información. El texto analiza las responsabilidades del docente en áreas clave: el acceso a la información mediante sistemas de comunicación adecuados; la orientación y movilidad para favorecer desplazamientos seguros; la enseñanza de actividades de la vida diaria desde experiencias reales; y la promoción de estrategias comunicativas que permitan la interacción con personas fuera del entorno habitual. Finalmente, el ensayo sostiene que estas áreas representan solo una parte del vasto trabajo que realizan los docentes, cuyo compromiso, paciencia y creatividad resultan esenciales para garantizar una educación digna.</w:t>
      </w:r>
    </w:p>
    <w:p w14:paraId="0000001E" w14:textId="77777777" w:rsidR="00ED195E" w:rsidRDefault="00000000">
      <w:pPr>
        <w:pBdr>
          <w:top w:val="nil"/>
          <w:left w:val="nil"/>
          <w:bottom w:val="nil"/>
          <w:right w:val="nil"/>
          <w:between w:val="nil"/>
        </w:pBdr>
        <w:spacing w:before="200" w:line="360" w:lineRule="auto"/>
        <w:rPr>
          <w:color w:val="000000"/>
          <w:sz w:val="24"/>
          <w:szCs w:val="24"/>
        </w:rPr>
        <w:sectPr w:rsidR="00ED195E">
          <w:pgSz w:w="11920" w:h="16840"/>
          <w:pgMar w:top="1240" w:right="1275" w:bottom="280" w:left="1275" w:header="360" w:footer="360" w:gutter="0"/>
          <w:pgNumType w:start="1"/>
          <w:cols w:space="720"/>
        </w:sectPr>
      </w:pPr>
      <w:r>
        <w:rPr>
          <w:color w:val="000000"/>
          <w:sz w:val="24"/>
          <w:szCs w:val="24"/>
        </w:rPr>
        <w:t>Palabras clave: Sordoceguera, labor docente, educación, comunicación, movilidad, inclusión</w:t>
      </w:r>
    </w:p>
    <w:p w14:paraId="0000001F" w14:textId="77777777" w:rsidR="00ED195E" w:rsidRDefault="00000000">
      <w:pPr>
        <w:pBdr>
          <w:top w:val="nil"/>
          <w:left w:val="nil"/>
          <w:bottom w:val="nil"/>
          <w:right w:val="nil"/>
          <w:between w:val="nil"/>
        </w:pBdr>
        <w:spacing w:before="64" w:line="360" w:lineRule="auto"/>
        <w:ind w:right="42"/>
        <w:rPr>
          <w:color w:val="000000"/>
          <w:sz w:val="24"/>
          <w:szCs w:val="24"/>
        </w:rPr>
      </w:pPr>
      <w:r>
        <w:rPr>
          <w:color w:val="000000"/>
          <w:sz w:val="24"/>
          <w:szCs w:val="24"/>
        </w:rPr>
        <w:lastRenderedPageBreak/>
        <w:t>La palabra “docente” proviene del verbo latino “</w:t>
      </w:r>
      <w:proofErr w:type="spellStart"/>
      <w:r>
        <w:rPr>
          <w:color w:val="000000"/>
          <w:sz w:val="24"/>
          <w:szCs w:val="24"/>
        </w:rPr>
        <w:t>docēre</w:t>
      </w:r>
      <w:proofErr w:type="spellEnd"/>
      <w:r>
        <w:rPr>
          <w:color w:val="000000"/>
          <w:sz w:val="24"/>
          <w:szCs w:val="24"/>
        </w:rPr>
        <w:t>”, que se traduce como “enseñar”, y la Real Academia Española define este término en 2 palabras: “Que enseña”. No obstante, para algunos esa definición puede resultar considerablemente corta si se toma en cuenta todo lo que realiza este profesional en su campo. En ese sentido, pueden designarse múltiples conceptos para la palabra “docente”, como los que se aprecian en el siguiente apartado:</w:t>
      </w:r>
    </w:p>
    <w:p w14:paraId="00000020" w14:textId="77777777" w:rsidR="00ED195E" w:rsidRDefault="00000000">
      <w:pPr>
        <w:spacing w:before="200" w:line="360" w:lineRule="auto"/>
        <w:ind w:right="4277"/>
        <w:rPr>
          <w:sz w:val="24"/>
          <w:szCs w:val="24"/>
        </w:rPr>
      </w:pPr>
      <w:proofErr w:type="gramStart"/>
      <w:r>
        <w:rPr>
          <w:sz w:val="24"/>
          <w:szCs w:val="24"/>
        </w:rPr>
        <w:t>Palabra a definir</w:t>
      </w:r>
      <w:proofErr w:type="gramEnd"/>
      <w:r>
        <w:rPr>
          <w:sz w:val="24"/>
          <w:szCs w:val="24"/>
        </w:rPr>
        <w:t>: Docente Definiciones:</w:t>
      </w:r>
    </w:p>
    <w:p w14:paraId="00000021" w14:textId="77777777" w:rsidR="00ED195E" w:rsidRDefault="00000000">
      <w:pPr>
        <w:pBdr>
          <w:top w:val="nil"/>
          <w:left w:val="nil"/>
          <w:bottom w:val="nil"/>
          <w:right w:val="nil"/>
          <w:between w:val="nil"/>
        </w:pBdr>
        <w:tabs>
          <w:tab w:val="left" w:pos="2186"/>
        </w:tabs>
        <w:spacing w:line="360" w:lineRule="auto"/>
        <w:rPr>
          <w:color w:val="000000"/>
          <w:sz w:val="24"/>
          <w:szCs w:val="24"/>
        </w:rPr>
      </w:pPr>
      <w:r>
        <w:rPr>
          <w:color w:val="000000"/>
          <w:sz w:val="24"/>
          <w:szCs w:val="24"/>
        </w:rPr>
        <w:t>Persona que celebra los logros de sus estudiantes como si fueran suyos.</w:t>
      </w:r>
    </w:p>
    <w:p w14:paraId="00000022" w14:textId="77777777" w:rsidR="00ED195E" w:rsidRDefault="00000000">
      <w:pPr>
        <w:pBdr>
          <w:top w:val="nil"/>
          <w:left w:val="nil"/>
          <w:bottom w:val="nil"/>
          <w:right w:val="nil"/>
          <w:between w:val="nil"/>
        </w:pBdr>
        <w:tabs>
          <w:tab w:val="left" w:pos="2186"/>
        </w:tabs>
        <w:spacing w:line="360" w:lineRule="auto"/>
        <w:rPr>
          <w:color w:val="000000"/>
          <w:sz w:val="24"/>
          <w:szCs w:val="24"/>
        </w:rPr>
      </w:pPr>
      <w:r>
        <w:rPr>
          <w:color w:val="000000"/>
          <w:sz w:val="24"/>
          <w:szCs w:val="24"/>
        </w:rPr>
        <w:t>Persona que comparte su merienda cuando alguien olvida la suya.</w:t>
      </w:r>
    </w:p>
    <w:p w14:paraId="00000023" w14:textId="77777777" w:rsidR="00ED195E" w:rsidRDefault="00000000">
      <w:pPr>
        <w:pBdr>
          <w:top w:val="nil"/>
          <w:left w:val="nil"/>
          <w:bottom w:val="nil"/>
          <w:right w:val="nil"/>
          <w:between w:val="nil"/>
        </w:pBdr>
        <w:tabs>
          <w:tab w:val="left" w:pos="2186"/>
        </w:tabs>
        <w:spacing w:line="360" w:lineRule="auto"/>
        <w:rPr>
          <w:color w:val="000000"/>
          <w:sz w:val="24"/>
          <w:szCs w:val="24"/>
        </w:rPr>
      </w:pPr>
      <w:r>
        <w:rPr>
          <w:color w:val="000000"/>
          <w:sz w:val="24"/>
          <w:szCs w:val="24"/>
        </w:rPr>
        <w:t>Persona que escucha cuando parece que nadie más lo hace.</w:t>
      </w:r>
    </w:p>
    <w:p w14:paraId="00000024" w14:textId="77777777" w:rsidR="00ED195E" w:rsidRDefault="00000000">
      <w:pPr>
        <w:pBdr>
          <w:top w:val="nil"/>
          <w:left w:val="nil"/>
          <w:bottom w:val="nil"/>
          <w:right w:val="nil"/>
          <w:between w:val="nil"/>
        </w:pBdr>
        <w:tabs>
          <w:tab w:val="left" w:pos="2186"/>
        </w:tabs>
        <w:spacing w:line="360" w:lineRule="auto"/>
        <w:rPr>
          <w:color w:val="000000"/>
          <w:sz w:val="24"/>
          <w:szCs w:val="24"/>
        </w:rPr>
      </w:pPr>
      <w:r>
        <w:rPr>
          <w:color w:val="000000"/>
          <w:sz w:val="24"/>
          <w:szCs w:val="24"/>
        </w:rPr>
        <w:t>Persona que asegura que todos en su aula se sientan incluidos.</w:t>
      </w:r>
    </w:p>
    <w:p w14:paraId="00000025" w14:textId="77777777" w:rsidR="00ED195E" w:rsidRDefault="00000000">
      <w:pPr>
        <w:pBdr>
          <w:top w:val="nil"/>
          <w:left w:val="nil"/>
          <w:bottom w:val="nil"/>
          <w:right w:val="nil"/>
          <w:between w:val="nil"/>
        </w:pBdr>
        <w:tabs>
          <w:tab w:val="left" w:pos="2186"/>
          <w:tab w:val="left" w:pos="2188"/>
        </w:tabs>
        <w:spacing w:line="360" w:lineRule="auto"/>
        <w:ind w:right="54"/>
        <w:rPr>
          <w:color w:val="000000"/>
          <w:sz w:val="24"/>
          <w:szCs w:val="24"/>
        </w:rPr>
      </w:pPr>
      <w:r>
        <w:rPr>
          <w:color w:val="000000"/>
          <w:sz w:val="24"/>
          <w:szCs w:val="24"/>
        </w:rPr>
        <w:t>Persona que emplea distintas estrategias para alcanzar un aprendizaje significativo en su alumnado.</w:t>
      </w:r>
    </w:p>
    <w:p w14:paraId="00000026" w14:textId="77777777" w:rsidR="00ED195E" w:rsidRDefault="00000000">
      <w:pPr>
        <w:spacing w:before="200" w:line="360" w:lineRule="auto"/>
        <w:rPr>
          <w:sz w:val="24"/>
          <w:szCs w:val="24"/>
        </w:rPr>
      </w:pPr>
      <w:r>
        <w:rPr>
          <w:sz w:val="24"/>
          <w:szCs w:val="24"/>
        </w:rPr>
        <w:t>Entre otras definiciones que pueden ser fácilmente distinguidas si se comparte con un docente.</w:t>
      </w:r>
    </w:p>
    <w:p w14:paraId="00000027" w14:textId="77777777" w:rsidR="00ED195E" w:rsidRDefault="00000000">
      <w:pPr>
        <w:pBdr>
          <w:top w:val="nil"/>
          <w:left w:val="nil"/>
          <w:bottom w:val="nil"/>
          <w:right w:val="nil"/>
          <w:between w:val="nil"/>
        </w:pBdr>
        <w:spacing w:before="200" w:line="360" w:lineRule="auto"/>
        <w:ind w:right="42"/>
        <w:rPr>
          <w:color w:val="000000"/>
          <w:sz w:val="24"/>
          <w:szCs w:val="24"/>
        </w:rPr>
      </w:pPr>
      <w:r>
        <w:rPr>
          <w:color w:val="000000"/>
          <w:sz w:val="24"/>
          <w:szCs w:val="24"/>
        </w:rPr>
        <w:t>Estas prácticas, que definen al docente y su labor diaria, pueden impactar significativamente en la vida de cada uno de sus estudiantes. Y en contextos donde la educación parece ser difícil de acceder, la labor del docente cobra más significado, pues el docente hace de sí un puente capaz de sostener, guiar y conectar al alumno con el mundo, a través de su enseñanza.</w:t>
      </w:r>
    </w:p>
    <w:p w14:paraId="00000028" w14:textId="77777777" w:rsidR="00ED195E" w:rsidRDefault="00000000">
      <w:pPr>
        <w:pBdr>
          <w:top w:val="nil"/>
          <w:left w:val="nil"/>
          <w:bottom w:val="nil"/>
          <w:right w:val="nil"/>
          <w:between w:val="nil"/>
        </w:pBdr>
        <w:spacing w:before="200" w:line="360" w:lineRule="auto"/>
        <w:ind w:right="54"/>
        <w:rPr>
          <w:color w:val="000000"/>
          <w:sz w:val="24"/>
          <w:szCs w:val="24"/>
        </w:rPr>
      </w:pPr>
      <w:r>
        <w:rPr>
          <w:color w:val="000000"/>
          <w:sz w:val="24"/>
          <w:szCs w:val="24"/>
        </w:rPr>
        <w:t>Aun así, hay un grupo de estudiantes que, pese a su derecho, encuentran grandes dificultades para acceder plenamente a la educación. Tal es la realidad de los estudiantes con sordoceguera.</w:t>
      </w:r>
    </w:p>
    <w:p w14:paraId="00000029" w14:textId="77777777" w:rsidR="00ED195E" w:rsidRDefault="00000000">
      <w:pPr>
        <w:pBdr>
          <w:top w:val="nil"/>
          <w:left w:val="nil"/>
          <w:bottom w:val="nil"/>
          <w:right w:val="nil"/>
          <w:between w:val="nil"/>
        </w:pBdr>
        <w:spacing w:before="200" w:line="360" w:lineRule="auto"/>
        <w:ind w:right="49"/>
        <w:rPr>
          <w:color w:val="000000"/>
          <w:sz w:val="24"/>
          <w:szCs w:val="24"/>
        </w:rPr>
      </w:pPr>
      <w:r>
        <w:rPr>
          <w:color w:val="000000"/>
          <w:sz w:val="24"/>
          <w:szCs w:val="24"/>
        </w:rPr>
        <w:t>La sordoceguera, como menciona el Ministerio de Educación del Perú, es una discapacidad única que se manifiesta por la deficiencia auditiva y visual simultánea, parcial o total, de manera suficiente y grave para comprometer la comunicación, la movilización y el acceso a la información y al entorno (2023, p. 3).</w:t>
      </w:r>
    </w:p>
    <w:p w14:paraId="0000002A" w14:textId="77777777" w:rsidR="00ED195E" w:rsidRDefault="00000000">
      <w:pPr>
        <w:pBdr>
          <w:top w:val="nil"/>
          <w:left w:val="nil"/>
          <w:bottom w:val="nil"/>
          <w:right w:val="nil"/>
          <w:between w:val="nil"/>
        </w:pBdr>
        <w:spacing w:before="200" w:line="360" w:lineRule="auto"/>
        <w:ind w:right="44"/>
        <w:rPr>
          <w:color w:val="000000"/>
          <w:sz w:val="24"/>
          <w:szCs w:val="24"/>
        </w:rPr>
      </w:pPr>
      <w:r>
        <w:rPr>
          <w:color w:val="000000"/>
          <w:sz w:val="24"/>
          <w:szCs w:val="24"/>
        </w:rPr>
        <w:t>Para un estudiante con sordoceguera, ese “puente” docente adquiere una dimensión profundamente humana: en un contexto donde solo una parte muy pequeña de esta población logra acceder a experiencias educativas verdaderamente significativas, la presencia del docente se convierte en la mano que guía cuando el entorno se siente incierto, es el tacto que reemplaza la voz o la mirada, y esa presencia constante que da seguridad para aprender, participar y sentirse parte de la comunidad escolar.</w:t>
      </w:r>
    </w:p>
    <w:p w14:paraId="0000002B" w14:textId="77777777" w:rsidR="00ED195E" w:rsidRDefault="00000000">
      <w:pPr>
        <w:pBdr>
          <w:top w:val="nil"/>
          <w:left w:val="nil"/>
          <w:bottom w:val="nil"/>
          <w:right w:val="nil"/>
          <w:between w:val="nil"/>
        </w:pBdr>
        <w:spacing w:before="200" w:line="360" w:lineRule="auto"/>
        <w:ind w:right="47"/>
        <w:rPr>
          <w:color w:val="000000"/>
          <w:sz w:val="24"/>
          <w:szCs w:val="24"/>
        </w:rPr>
      </w:pPr>
      <w:r>
        <w:rPr>
          <w:color w:val="000000"/>
          <w:sz w:val="24"/>
          <w:szCs w:val="24"/>
        </w:rPr>
        <w:lastRenderedPageBreak/>
        <w:t>Según el segundo informe mundial sobre la situación de las personas con sordoceguera de la Federación Mundial de Sordociegos (2023), desde los primeros niveles educativos, la presencia de niños con sordoceguera es significativamente menor en comparación con sus pares con otras discapacidades, o sin discapacidad.</w:t>
      </w:r>
    </w:p>
    <w:p w14:paraId="0000002C"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En Educación Inicial, alrededor del 14% de estudiantes con sordoceguera se encuentran matriculados en una Institución Educativa, una cifra muy por debajo de la que alcanzan tanto otros estudiantes con discapacidad como aquellos sin discapacidad. Esta brecha se vuelve aún más evidente en la Educación Primaria, donde apenas un 20% llega a matricularse, frente a los porcentajes mucho más altos que registran otros grupos. La situación continúa en la Educación Secundaria, etapa a la que asiste aproximadamente el 16% de este estudiantado (Federación Mundial de Sordociegos, 2023, pp. 99-100).</w:t>
      </w:r>
    </w:p>
    <w:p w14:paraId="0000002D" w14:textId="77777777" w:rsidR="00ED195E" w:rsidRDefault="00000000">
      <w:pPr>
        <w:pBdr>
          <w:top w:val="nil"/>
          <w:left w:val="nil"/>
          <w:bottom w:val="nil"/>
          <w:right w:val="nil"/>
          <w:between w:val="nil"/>
        </w:pBdr>
        <w:spacing w:before="200" w:line="360" w:lineRule="auto"/>
        <w:ind w:right="42"/>
        <w:rPr>
          <w:color w:val="000000"/>
          <w:sz w:val="24"/>
          <w:szCs w:val="24"/>
        </w:rPr>
      </w:pPr>
      <w:r>
        <w:rPr>
          <w:color w:val="000000"/>
          <w:sz w:val="24"/>
          <w:szCs w:val="24"/>
        </w:rPr>
        <w:t>Además, el informe también señala que, incluso cuando los niños con sordoceguera logran estar matriculados, sus posibilidades de avanzar adecuadamente en su desarrollo son casi un 50% menores que las de otros estudiantes con discapacidad, y hasta tres veces inferiores respecto a quienes no presentan ninguna. Esta diferencia se relaciona con la persistencia de actividades poco accesibles, metodologías rígidas y la limitada formación docente para atender sus necesidades específicas (Federación Mundial de Sordociegos, 2023, p. 100).</w:t>
      </w:r>
    </w:p>
    <w:p w14:paraId="0000002E" w14:textId="77777777" w:rsidR="00ED195E" w:rsidRDefault="00000000">
      <w:pPr>
        <w:pBdr>
          <w:top w:val="nil"/>
          <w:left w:val="nil"/>
          <w:bottom w:val="nil"/>
          <w:right w:val="nil"/>
          <w:between w:val="nil"/>
        </w:pBdr>
        <w:spacing w:before="200" w:line="360" w:lineRule="auto"/>
        <w:ind w:right="45"/>
        <w:rPr>
          <w:color w:val="000000"/>
          <w:sz w:val="24"/>
          <w:szCs w:val="24"/>
        </w:rPr>
      </w:pPr>
      <w:r>
        <w:rPr>
          <w:color w:val="000000"/>
          <w:sz w:val="24"/>
          <w:szCs w:val="24"/>
        </w:rPr>
        <w:t>Bajo ese panorama, la labor de los docentes que acompañan a estudiantes con sordoceguera exige un compromiso profundo, y precisamente por ello, se convierte en una tarea de enorme valor y reconocimiento.</w:t>
      </w:r>
    </w:p>
    <w:p w14:paraId="0000002F"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En principio, el docente debe saber que no todas las personas con sordoceguera se comunican de la misma manera. La elección del sistema de comunicación de la persona sordociega depende de:</w:t>
      </w:r>
    </w:p>
    <w:p w14:paraId="00000030" w14:textId="77777777" w:rsidR="00ED195E" w:rsidRDefault="00000000">
      <w:pPr>
        <w:pBdr>
          <w:top w:val="nil"/>
          <w:left w:val="nil"/>
          <w:bottom w:val="nil"/>
          <w:right w:val="nil"/>
          <w:between w:val="nil"/>
        </w:pBdr>
        <w:tabs>
          <w:tab w:val="left" w:pos="1468"/>
        </w:tabs>
        <w:spacing w:before="200" w:line="360" w:lineRule="auto"/>
        <w:rPr>
          <w:color w:val="000000"/>
          <w:sz w:val="24"/>
          <w:szCs w:val="24"/>
        </w:rPr>
      </w:pPr>
      <w:r>
        <w:rPr>
          <w:color w:val="000000"/>
          <w:sz w:val="24"/>
          <w:szCs w:val="24"/>
        </w:rPr>
        <w:t>Si la persona nació sorda y/o ciega, o perdió uno o ambos sentidos después.</w:t>
      </w:r>
    </w:p>
    <w:p w14:paraId="00000031" w14:textId="77777777" w:rsidR="00ED195E" w:rsidRDefault="00000000">
      <w:pPr>
        <w:pBdr>
          <w:top w:val="nil"/>
          <w:left w:val="nil"/>
          <w:bottom w:val="nil"/>
          <w:right w:val="nil"/>
          <w:between w:val="nil"/>
        </w:pBdr>
        <w:tabs>
          <w:tab w:val="left" w:pos="1468"/>
        </w:tabs>
        <w:spacing w:before="200" w:line="360" w:lineRule="auto"/>
        <w:rPr>
          <w:color w:val="000000"/>
          <w:sz w:val="24"/>
          <w:szCs w:val="24"/>
        </w:rPr>
      </w:pPr>
      <w:r>
        <w:rPr>
          <w:color w:val="000000"/>
          <w:sz w:val="24"/>
          <w:szCs w:val="24"/>
        </w:rPr>
        <w:t>Si sabe Lengua de Señas, Sistema Braille, o tiene lenguaje.</w:t>
      </w:r>
    </w:p>
    <w:p w14:paraId="00000032" w14:textId="77777777" w:rsidR="00ED195E" w:rsidRDefault="00000000">
      <w:pPr>
        <w:pBdr>
          <w:top w:val="nil"/>
          <w:left w:val="nil"/>
          <w:bottom w:val="nil"/>
          <w:right w:val="nil"/>
          <w:between w:val="nil"/>
        </w:pBdr>
        <w:tabs>
          <w:tab w:val="left" w:pos="1468"/>
        </w:tabs>
        <w:spacing w:before="200" w:line="360" w:lineRule="auto"/>
        <w:rPr>
          <w:color w:val="000000"/>
          <w:sz w:val="24"/>
          <w:szCs w:val="24"/>
        </w:rPr>
      </w:pPr>
      <w:r>
        <w:rPr>
          <w:color w:val="000000"/>
          <w:sz w:val="24"/>
          <w:szCs w:val="24"/>
        </w:rPr>
        <w:t>Si tiene restos visuales o auditivos (Canal Trece Colombia, 2022).</w:t>
      </w:r>
    </w:p>
    <w:p w14:paraId="00000033"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 xml:space="preserve">En el Perú, se reconocen distintos sistemas de comunicación para las personas con sordoceguera: Entre los sistemas alfabéticos, se incluyen el dactilológico —que representa cada letra con distintas formas y posturas con la mano—, el visual–táctil, en el que la persona toma la mano del interlocutor mientras este deletrea, y la escritura en mayúsculas, que consiste en trazar letras sobre la palma de la mano de la persona </w:t>
      </w:r>
      <w:r>
        <w:rPr>
          <w:color w:val="000000"/>
          <w:sz w:val="24"/>
          <w:szCs w:val="24"/>
        </w:rPr>
        <w:lastRenderedPageBreak/>
        <w:t>sordociega (Ministerio de Educación del Perú, 2023, p. 8).</w:t>
      </w:r>
    </w:p>
    <w:p w14:paraId="00000034" w14:textId="77777777" w:rsidR="00ED195E" w:rsidRDefault="00000000">
      <w:pPr>
        <w:pBdr>
          <w:top w:val="nil"/>
          <w:left w:val="nil"/>
          <w:bottom w:val="nil"/>
          <w:right w:val="nil"/>
          <w:between w:val="nil"/>
        </w:pBdr>
        <w:spacing w:before="200" w:line="360" w:lineRule="auto"/>
        <w:ind w:right="42"/>
        <w:rPr>
          <w:color w:val="000000"/>
          <w:sz w:val="24"/>
          <w:szCs w:val="24"/>
        </w:rPr>
      </w:pPr>
      <w:r>
        <w:rPr>
          <w:color w:val="000000"/>
          <w:sz w:val="24"/>
          <w:szCs w:val="24"/>
        </w:rPr>
        <w:t>Los sistemas no alfabéticos abarcan la lengua de señas visual, compartida con la comunidad sorda, y su adaptación táctil, donde la persona con sordoceguera percibe las señas tomando las manos de quien las realiza (Ministerio de Educación del Perú, 2023, p. 9).</w:t>
      </w:r>
    </w:p>
    <w:p w14:paraId="00000035" w14:textId="77777777" w:rsidR="00ED195E" w:rsidRDefault="00000000">
      <w:pPr>
        <w:pBdr>
          <w:top w:val="nil"/>
          <w:left w:val="nil"/>
          <w:bottom w:val="nil"/>
          <w:right w:val="nil"/>
          <w:between w:val="nil"/>
        </w:pBdr>
        <w:spacing w:before="200" w:line="360" w:lineRule="auto"/>
        <w:ind w:right="44"/>
        <w:rPr>
          <w:color w:val="000000"/>
          <w:sz w:val="24"/>
          <w:szCs w:val="24"/>
        </w:rPr>
      </w:pPr>
      <w:r>
        <w:rPr>
          <w:color w:val="000000"/>
          <w:sz w:val="24"/>
          <w:szCs w:val="24"/>
        </w:rPr>
        <w:t xml:space="preserve">Finalmente, los sistemas basados en la lengua oral incluyen el habla amplificada, donde se eleva la voz dirigiéndose al oído con mayor resto auditivo o apoyada en dispositivos; la lectura </w:t>
      </w:r>
      <w:proofErr w:type="gramStart"/>
      <w:r>
        <w:rPr>
          <w:color w:val="000000"/>
          <w:sz w:val="24"/>
          <w:szCs w:val="24"/>
        </w:rPr>
        <w:t>labio-facial</w:t>
      </w:r>
      <w:proofErr w:type="gramEnd"/>
      <w:r>
        <w:rPr>
          <w:color w:val="000000"/>
          <w:sz w:val="24"/>
          <w:szCs w:val="24"/>
        </w:rPr>
        <w:t xml:space="preserve">, utilizada por quienes aún conservan restos visuales; y el </w:t>
      </w:r>
      <w:proofErr w:type="spellStart"/>
      <w:r>
        <w:rPr>
          <w:color w:val="000000"/>
          <w:sz w:val="24"/>
          <w:szCs w:val="24"/>
        </w:rPr>
        <w:t>Tadoma</w:t>
      </w:r>
      <w:proofErr w:type="spellEnd"/>
      <w:r>
        <w:rPr>
          <w:color w:val="000000"/>
          <w:sz w:val="24"/>
          <w:szCs w:val="24"/>
        </w:rPr>
        <w:t>, mediante el cual la persona sordociega percibe vibraciones y movimientos del habla colocando sus dedos sobre el rostro, boca y garganta del interlocutor (Ministerio de Educación del Perú, 2023, p. 9).</w:t>
      </w:r>
    </w:p>
    <w:p w14:paraId="00000036"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Dentro de este marco, el papel docente es decisivo para garantizar que el estudiante con sordoceguera acceda a la información de manera significativa. Para ello, la maestra o el maestro debe aprovechar al máximo los restos visuales y auditivos del estudiante, cuidando las condiciones del entorno —como la iluminación o la ubicación respecto a sonidos y estímulos visuales—, pues estos factores influyen directamente en su aprendizaje y orientación (Ministerio de Educación del Perú, 2023, p. 10).</w:t>
      </w:r>
    </w:p>
    <w:p w14:paraId="00000037"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Asimismo, el docente es responsable de transmitir la información a través del sistema de comunicación que el estudiante utiliza. Esto implica, además de tener una base formativa en el sistema de comunicación del estudiante, conocer quiénes, dentro de su entorno familiar o profesional, dominan dicho sistema, ya que estas personas pueden aportar datos esenciales para realizar los ajustes necesarios en las actividades escolares (Ministerio de Educación del Perú, 2023, p. 10).</w:t>
      </w:r>
    </w:p>
    <w:p w14:paraId="00000038" w14:textId="77777777" w:rsidR="00ED195E" w:rsidRDefault="00000000">
      <w:pPr>
        <w:pBdr>
          <w:top w:val="nil"/>
          <w:left w:val="nil"/>
          <w:bottom w:val="nil"/>
          <w:right w:val="nil"/>
          <w:between w:val="nil"/>
        </w:pBdr>
        <w:spacing w:before="200" w:line="360" w:lineRule="auto"/>
        <w:ind w:right="51"/>
        <w:rPr>
          <w:color w:val="000000"/>
          <w:sz w:val="24"/>
          <w:szCs w:val="24"/>
        </w:rPr>
      </w:pPr>
      <w:r>
        <w:rPr>
          <w:color w:val="000000"/>
          <w:sz w:val="24"/>
          <w:szCs w:val="24"/>
        </w:rPr>
        <w:t>Finalmente, el docente debe reconocer que el tacto es una vía clave para que el estudiante acceda al mundo que lo rodea. Por ello, en cualquier actividad educativa, es imprescindible considerar esta modalidad como un canal primordial de comunicación y aprendizaje (Ministerio de Educación del Perú, 2023, p. 10).</w:t>
      </w:r>
    </w:p>
    <w:p w14:paraId="00000039"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Por otra parte, además de facilitar el acceso a la información, el docente también cumple un rol esencial en la orientación y movilidad del estudiante con sordoceguera. A través de sus indicaciones, apoyos táctiles, descripciones del entorno y la organización clara de los espacios, el docente ayuda al estudiante a ubicarse, desplazarse con mayor seguridad y comprender cómo está distribuido el mundo que lo rodea.</w:t>
      </w:r>
    </w:p>
    <w:p w14:paraId="0000003A" w14:textId="77777777" w:rsidR="00ED195E" w:rsidRDefault="00000000">
      <w:pPr>
        <w:pBdr>
          <w:top w:val="nil"/>
          <w:left w:val="nil"/>
          <w:bottom w:val="nil"/>
          <w:right w:val="nil"/>
          <w:between w:val="nil"/>
        </w:pBdr>
        <w:spacing w:before="200" w:line="360" w:lineRule="auto"/>
        <w:ind w:right="45"/>
        <w:rPr>
          <w:color w:val="000000"/>
          <w:sz w:val="24"/>
          <w:szCs w:val="24"/>
        </w:rPr>
      </w:pPr>
      <w:r>
        <w:rPr>
          <w:color w:val="000000"/>
          <w:sz w:val="24"/>
          <w:szCs w:val="24"/>
        </w:rPr>
        <w:t xml:space="preserve">Para que el alumno pueda desplazarse con seguridad, el docente debe considerar las </w:t>
      </w:r>
      <w:r>
        <w:rPr>
          <w:color w:val="000000"/>
          <w:sz w:val="24"/>
          <w:szCs w:val="24"/>
        </w:rPr>
        <w:lastRenderedPageBreak/>
        <w:t xml:space="preserve">capacidades sensoriales que conserva —restos visuales, auditivos, táctiles o propioceptivos— y utilizar esa información para enseñarle a ubicarse y moverse dentro del centro educativo. Su labor incluye mostrarle los espacios que utilizará con mayor frecuencia, guiarlo mediante apoyos táctiles y recorridos repetidos, y ayudarlo a formar una imagen mental del entorno. Esto implica acompañarlo al inicio, permitirle mantener contacto con la pared o con elementos fijos, y organizar el aula con referencias táctiles o visuales —como texturas, muebles </w:t>
      </w:r>
      <w:proofErr w:type="spellStart"/>
      <w:r>
        <w:rPr>
          <w:color w:val="000000"/>
          <w:sz w:val="24"/>
          <w:szCs w:val="24"/>
        </w:rPr>
        <w:t>o</w:t>
      </w:r>
      <w:proofErr w:type="spellEnd"/>
      <w:r>
        <w:rPr>
          <w:color w:val="000000"/>
          <w:sz w:val="24"/>
          <w:szCs w:val="24"/>
        </w:rPr>
        <w:t xml:space="preserve"> objetos de referencia— que le faciliten reconocer cada lugar (Ministerio de Educación, Cultura y Deporte de España, 2017, pp. 44-47).</w:t>
      </w:r>
    </w:p>
    <w:p w14:paraId="0000003B" w14:textId="77777777" w:rsidR="00ED195E" w:rsidRDefault="00000000">
      <w:pPr>
        <w:pBdr>
          <w:top w:val="nil"/>
          <w:left w:val="nil"/>
          <w:bottom w:val="nil"/>
          <w:right w:val="nil"/>
          <w:between w:val="nil"/>
        </w:pBdr>
        <w:spacing w:before="200" w:line="360" w:lineRule="auto"/>
        <w:ind w:right="44"/>
        <w:rPr>
          <w:color w:val="000000"/>
          <w:sz w:val="24"/>
          <w:szCs w:val="24"/>
        </w:rPr>
      </w:pPr>
      <w:r>
        <w:rPr>
          <w:color w:val="000000"/>
          <w:sz w:val="24"/>
          <w:szCs w:val="24"/>
        </w:rPr>
        <w:t>El docente también apoya al estudiante en la exploración activa de los objetos y zonas del aula, ayudándolo a relacionar las sensaciones que percibe con los elementos que las producen. A medida que el alumno adquiere confianza, el docente ajusta la guía, promoviendo mayor autonomía mediante técnicas como la protección alta o baja, el uso de puntos de referencia y recorridos estructurados (Ministerio de Educación, Cultura y Deporte de España, 2017, pp. 48-49).</w:t>
      </w:r>
    </w:p>
    <w:p w14:paraId="0000003C"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En espacios exteriores, el docente sigue siendo una figura esencial: introduce progresivamente al alumno en el patio, los pasillos abiertos o las zonas entre edificios, enseñándole a reconocer texturas del suelo, elementos del ambiente y rutas seguras. De esta manera, el docente no solo acompaña el desplazamiento, sino que contribuye a que el estudiante comprenda el mundo que lo rodea y pueda orientarse con mayor independencia (Ministerio de Educación, Cultura y Deporte de España, 2017, p. 49).</w:t>
      </w:r>
    </w:p>
    <w:p w14:paraId="0000003D"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Por otro lado, así como el docente acompaña al estudiante con sordoceguera en su orientación y movilidad, también desempeña un papel fundamental en la enseñanza de las actividades de la vida diaria. Muchos estudiantes con sordoceguera no han experimentado por cuenta propia la realización de tareas cotidianas, por lo que suelen desconocer tanto el propósito global de una actividad como las habilidades motoras necesarias para ejecutarla. Frente a ello, el docente guía cada acción de manera estructurada y significativa, enseñando las tareas en el contexto real donde ocurren —el baño, el comedor, el aula— y repitiendo las secuencias de forma constante para favorecer su comprensión.</w:t>
      </w:r>
    </w:p>
    <w:p w14:paraId="0000003E" w14:textId="77777777" w:rsidR="00ED195E" w:rsidRDefault="00000000">
      <w:pPr>
        <w:pBdr>
          <w:top w:val="nil"/>
          <w:left w:val="nil"/>
          <w:bottom w:val="nil"/>
          <w:right w:val="nil"/>
          <w:between w:val="nil"/>
        </w:pBdr>
        <w:spacing w:before="200" w:line="360" w:lineRule="auto"/>
        <w:ind w:right="41"/>
        <w:rPr>
          <w:color w:val="000000"/>
          <w:sz w:val="24"/>
          <w:szCs w:val="24"/>
        </w:rPr>
      </w:pPr>
      <w:r>
        <w:rPr>
          <w:color w:val="000000"/>
          <w:sz w:val="24"/>
          <w:szCs w:val="24"/>
        </w:rPr>
        <w:t xml:space="preserve">En este proceso, la intervención docente se adapta al nivel de funcionamiento del estudiante: en quienes requieren mayor apoyo, se trabaja en el momento en que se realiza la actividad, y el lugar donde se ejecuta la misma. De esta forma, se le otorga un sentido a la tarea y es más sencilla de aprender. En estudiantes con mayor autonomía, el docente se centra en aportar la información que no pueden obtener por </w:t>
      </w:r>
      <w:r>
        <w:rPr>
          <w:color w:val="000000"/>
          <w:sz w:val="24"/>
          <w:szCs w:val="24"/>
        </w:rPr>
        <w:lastRenderedPageBreak/>
        <w:t>observación, enseñándoles a generalizar lo aprendido a otros espacios y momentos del día e incorporando sistemas de comunicación que les permitan interactuar con otras personas en situaciones reales, como realizar la compra de un producto (Ministerio de Educación, Cultura y Deporte de España, 2017, p. 50).</w:t>
      </w:r>
    </w:p>
    <w:p w14:paraId="0000003F" w14:textId="77777777" w:rsidR="00ED195E" w:rsidRDefault="00000000">
      <w:pPr>
        <w:pBdr>
          <w:top w:val="nil"/>
          <w:left w:val="nil"/>
          <w:bottom w:val="nil"/>
          <w:right w:val="nil"/>
          <w:between w:val="nil"/>
        </w:pBdr>
        <w:spacing w:before="200" w:line="360" w:lineRule="auto"/>
        <w:ind w:right="43"/>
        <w:rPr>
          <w:color w:val="000000"/>
          <w:sz w:val="24"/>
          <w:szCs w:val="24"/>
        </w:rPr>
      </w:pPr>
      <w:r>
        <w:rPr>
          <w:color w:val="000000"/>
          <w:sz w:val="24"/>
          <w:szCs w:val="24"/>
        </w:rPr>
        <w:t>Finalmente, en esa misma línea de promover autonomía, el docente también cumple un rol clave al enseñar al estudiante con sordoceguera estrategias de comunicación que le permitan interactuar con personas fuera de su entorno habitual. Esta área es esencial, ya que muchos de los interlocutores con los que el estudiante se encontrará —docentes nuevos, personal de la escuela, comerciantes o transeúntes— no conocen su sistema de comunicación. Por ello, el docente analiza cómo el estudiante comprende y expresa información, para enseñarle recursos que faciliten hacerse entender en situaciones reales (Ministerio de Educación, Cultura y Deporte de España, 2017, p. 51).</w:t>
      </w:r>
    </w:p>
    <w:p w14:paraId="00000040" w14:textId="77777777" w:rsidR="00ED195E" w:rsidRDefault="00000000">
      <w:pPr>
        <w:pBdr>
          <w:top w:val="nil"/>
          <w:left w:val="nil"/>
          <w:bottom w:val="nil"/>
          <w:right w:val="nil"/>
          <w:between w:val="nil"/>
        </w:pBdr>
        <w:spacing w:before="200" w:line="360" w:lineRule="auto"/>
        <w:ind w:right="42"/>
        <w:rPr>
          <w:color w:val="000000"/>
          <w:sz w:val="24"/>
          <w:szCs w:val="24"/>
        </w:rPr>
      </w:pPr>
      <w:r>
        <w:rPr>
          <w:color w:val="000000"/>
          <w:sz w:val="24"/>
          <w:szCs w:val="24"/>
        </w:rPr>
        <w:t>Dependiendo del nivel de funcionamiento del alumno, estas formas de comunicarse pueden basarse en el habla, la escritura o gestos naturales. El docente puede practicar con él la escritura de frases útiles que le permitan solicitar ayuda o información, como pedir que lo acompañen a un lugar. En otros casos, cuando el estudiante no puede escribir o no utiliza lengua de señas, el docente introduce apoyos alternativos como tarjetas o cuadernos de comunicación previamente elaborados. Estos materiales pueden combinar frases con fotografías, dibujos u objetos que el estudiante reconoce y que le permiten señalar lo que necesita o desea en una interacción con el público (Ministerio de Educación, Cultura y Deporte de España, 2017, pp. 51-52).</w:t>
      </w:r>
    </w:p>
    <w:p w14:paraId="00000041" w14:textId="77777777" w:rsidR="00ED195E" w:rsidRDefault="00000000">
      <w:pPr>
        <w:pBdr>
          <w:top w:val="nil"/>
          <w:left w:val="nil"/>
          <w:bottom w:val="nil"/>
          <w:right w:val="nil"/>
          <w:between w:val="nil"/>
        </w:pBdr>
        <w:spacing w:before="200" w:line="360" w:lineRule="auto"/>
        <w:ind w:right="51"/>
        <w:rPr>
          <w:color w:val="000000"/>
          <w:sz w:val="24"/>
          <w:szCs w:val="24"/>
        </w:rPr>
      </w:pPr>
      <w:r>
        <w:rPr>
          <w:color w:val="000000"/>
          <w:sz w:val="24"/>
          <w:szCs w:val="24"/>
        </w:rPr>
        <w:t>En definitiva, estas cuatro áreas son solo un ejemplo de todo lo que la labor docente puede abarcar. El docente no se limita a enseñar estrategias de comunicación, técnicas de movilidad, o habilidades de vida diaria; su tarea se extiende a cada gesto que acompaña, cada barrera que ayuda a derribar y cada oportunidad que crea.</w:t>
      </w:r>
    </w:p>
    <w:p w14:paraId="00000042" w14:textId="77777777" w:rsidR="00ED195E" w:rsidRDefault="00000000">
      <w:pPr>
        <w:pBdr>
          <w:top w:val="nil"/>
          <w:left w:val="nil"/>
          <w:bottom w:val="nil"/>
          <w:right w:val="nil"/>
          <w:between w:val="nil"/>
        </w:pBdr>
        <w:spacing w:before="200" w:line="360" w:lineRule="auto"/>
        <w:ind w:right="41"/>
        <w:rPr>
          <w:color w:val="000000"/>
          <w:sz w:val="24"/>
          <w:szCs w:val="24"/>
        </w:rPr>
      </w:pPr>
      <w:r>
        <w:rPr>
          <w:color w:val="000000"/>
          <w:sz w:val="24"/>
          <w:szCs w:val="24"/>
        </w:rPr>
        <w:t>La docencia es un trabajo que exige paciencia, creatividad, compromiso y, sobre todo, una profunda convicción de que cada estudiante merece una educación digna y plena. Por ello, la labor docente en la educación de estudiantes con sordoceguera no solo es importante: es invaluable. Es una tarea que merece ser visibilizada, reconocida y valorada.</w:t>
      </w:r>
    </w:p>
    <w:p w14:paraId="00000043" w14:textId="77777777" w:rsidR="00ED195E" w:rsidRDefault="00000000">
      <w:pPr>
        <w:pBdr>
          <w:top w:val="nil"/>
          <w:left w:val="nil"/>
          <w:bottom w:val="nil"/>
          <w:right w:val="nil"/>
          <w:between w:val="nil"/>
        </w:pBdr>
        <w:spacing w:before="200" w:line="360" w:lineRule="auto"/>
        <w:ind w:right="48"/>
        <w:rPr>
          <w:color w:val="000000"/>
          <w:sz w:val="24"/>
          <w:szCs w:val="24"/>
        </w:rPr>
      </w:pPr>
      <w:r>
        <w:rPr>
          <w:color w:val="000000"/>
          <w:sz w:val="24"/>
          <w:szCs w:val="24"/>
        </w:rPr>
        <w:t>Porque en un país donde muchas manos pueden sentir ausencia, también están presentes aquellas manos que guían, construyen, transforman, y permiten que la educación se sienta.</w:t>
      </w:r>
    </w:p>
    <w:p w14:paraId="00000044" w14:textId="77777777" w:rsidR="00ED195E" w:rsidRDefault="00ED195E">
      <w:pPr>
        <w:pBdr>
          <w:top w:val="nil"/>
          <w:left w:val="nil"/>
          <w:bottom w:val="nil"/>
          <w:right w:val="nil"/>
          <w:between w:val="nil"/>
        </w:pBdr>
        <w:spacing w:before="200" w:line="360" w:lineRule="auto"/>
        <w:ind w:right="48"/>
        <w:rPr>
          <w:sz w:val="24"/>
          <w:szCs w:val="24"/>
        </w:rPr>
      </w:pPr>
    </w:p>
    <w:p w14:paraId="00000045" w14:textId="77777777" w:rsidR="00ED195E" w:rsidRDefault="00ED195E">
      <w:pPr>
        <w:pBdr>
          <w:top w:val="nil"/>
          <w:left w:val="nil"/>
          <w:bottom w:val="nil"/>
          <w:right w:val="nil"/>
          <w:between w:val="nil"/>
        </w:pBdr>
        <w:spacing w:before="200" w:line="360" w:lineRule="auto"/>
        <w:ind w:right="48"/>
        <w:rPr>
          <w:sz w:val="24"/>
          <w:szCs w:val="24"/>
        </w:rPr>
      </w:pPr>
    </w:p>
    <w:p w14:paraId="00000046" w14:textId="77777777" w:rsidR="00ED195E" w:rsidRDefault="00ED195E">
      <w:pPr>
        <w:pBdr>
          <w:top w:val="nil"/>
          <w:left w:val="nil"/>
          <w:bottom w:val="nil"/>
          <w:right w:val="nil"/>
          <w:between w:val="nil"/>
        </w:pBdr>
        <w:spacing w:before="200" w:line="360" w:lineRule="auto"/>
        <w:ind w:right="48"/>
        <w:rPr>
          <w:sz w:val="24"/>
          <w:szCs w:val="24"/>
        </w:rPr>
      </w:pPr>
    </w:p>
    <w:p w14:paraId="00000047" w14:textId="77777777" w:rsidR="00ED195E" w:rsidRDefault="00ED195E">
      <w:pPr>
        <w:pBdr>
          <w:top w:val="nil"/>
          <w:left w:val="nil"/>
          <w:bottom w:val="nil"/>
          <w:right w:val="nil"/>
          <w:between w:val="nil"/>
        </w:pBdr>
        <w:spacing w:before="200" w:line="360" w:lineRule="auto"/>
        <w:ind w:right="48"/>
        <w:rPr>
          <w:sz w:val="24"/>
          <w:szCs w:val="24"/>
        </w:rPr>
      </w:pPr>
    </w:p>
    <w:p w14:paraId="00000048" w14:textId="77777777" w:rsidR="00ED195E" w:rsidRDefault="00ED195E">
      <w:pPr>
        <w:pBdr>
          <w:top w:val="nil"/>
          <w:left w:val="nil"/>
          <w:bottom w:val="nil"/>
          <w:right w:val="nil"/>
          <w:between w:val="nil"/>
        </w:pBdr>
        <w:spacing w:before="200" w:line="360" w:lineRule="auto"/>
        <w:ind w:right="48"/>
        <w:rPr>
          <w:sz w:val="24"/>
          <w:szCs w:val="24"/>
        </w:rPr>
      </w:pPr>
    </w:p>
    <w:p w14:paraId="00000049" w14:textId="77777777" w:rsidR="00ED195E" w:rsidRDefault="00ED195E">
      <w:pPr>
        <w:pBdr>
          <w:top w:val="nil"/>
          <w:left w:val="nil"/>
          <w:bottom w:val="nil"/>
          <w:right w:val="nil"/>
          <w:between w:val="nil"/>
        </w:pBdr>
        <w:spacing w:before="200" w:line="360" w:lineRule="auto"/>
        <w:ind w:right="48"/>
        <w:rPr>
          <w:sz w:val="24"/>
          <w:szCs w:val="24"/>
        </w:rPr>
      </w:pPr>
    </w:p>
    <w:p w14:paraId="0000004A" w14:textId="77777777" w:rsidR="00ED195E" w:rsidRDefault="00ED195E">
      <w:pPr>
        <w:pBdr>
          <w:top w:val="nil"/>
          <w:left w:val="nil"/>
          <w:bottom w:val="nil"/>
          <w:right w:val="nil"/>
          <w:between w:val="nil"/>
        </w:pBdr>
        <w:spacing w:before="200" w:line="360" w:lineRule="auto"/>
        <w:ind w:right="48"/>
        <w:rPr>
          <w:sz w:val="24"/>
          <w:szCs w:val="24"/>
        </w:rPr>
      </w:pPr>
    </w:p>
    <w:p w14:paraId="0000004B" w14:textId="77777777" w:rsidR="00ED195E" w:rsidRDefault="00ED195E">
      <w:pPr>
        <w:pBdr>
          <w:top w:val="nil"/>
          <w:left w:val="nil"/>
          <w:bottom w:val="nil"/>
          <w:right w:val="nil"/>
          <w:between w:val="nil"/>
        </w:pBdr>
        <w:spacing w:before="200" w:line="360" w:lineRule="auto"/>
        <w:ind w:right="48"/>
        <w:rPr>
          <w:sz w:val="24"/>
          <w:szCs w:val="24"/>
        </w:rPr>
      </w:pPr>
    </w:p>
    <w:p w14:paraId="0000004C" w14:textId="77777777" w:rsidR="00ED195E" w:rsidRDefault="00ED195E">
      <w:pPr>
        <w:pBdr>
          <w:top w:val="nil"/>
          <w:left w:val="nil"/>
          <w:bottom w:val="nil"/>
          <w:right w:val="nil"/>
          <w:between w:val="nil"/>
        </w:pBdr>
        <w:spacing w:before="200" w:line="360" w:lineRule="auto"/>
        <w:ind w:right="48"/>
        <w:rPr>
          <w:sz w:val="24"/>
          <w:szCs w:val="24"/>
        </w:rPr>
      </w:pPr>
    </w:p>
    <w:p w14:paraId="0000004D" w14:textId="77777777" w:rsidR="00ED195E" w:rsidRDefault="00ED195E">
      <w:pPr>
        <w:pBdr>
          <w:top w:val="nil"/>
          <w:left w:val="nil"/>
          <w:bottom w:val="nil"/>
          <w:right w:val="nil"/>
          <w:between w:val="nil"/>
        </w:pBdr>
        <w:spacing w:before="200" w:line="360" w:lineRule="auto"/>
        <w:ind w:right="48"/>
        <w:rPr>
          <w:sz w:val="24"/>
          <w:szCs w:val="24"/>
        </w:rPr>
      </w:pPr>
    </w:p>
    <w:p w14:paraId="0000004E" w14:textId="77777777" w:rsidR="00ED195E" w:rsidRDefault="00ED195E">
      <w:pPr>
        <w:pBdr>
          <w:top w:val="nil"/>
          <w:left w:val="nil"/>
          <w:bottom w:val="nil"/>
          <w:right w:val="nil"/>
          <w:between w:val="nil"/>
        </w:pBdr>
        <w:spacing w:before="200" w:line="360" w:lineRule="auto"/>
        <w:ind w:right="48"/>
        <w:rPr>
          <w:sz w:val="24"/>
          <w:szCs w:val="24"/>
        </w:rPr>
      </w:pPr>
    </w:p>
    <w:p w14:paraId="0000004F" w14:textId="77777777" w:rsidR="00ED195E" w:rsidRDefault="00ED195E">
      <w:pPr>
        <w:pBdr>
          <w:top w:val="nil"/>
          <w:left w:val="nil"/>
          <w:bottom w:val="nil"/>
          <w:right w:val="nil"/>
          <w:between w:val="nil"/>
        </w:pBdr>
        <w:spacing w:before="200" w:line="360" w:lineRule="auto"/>
        <w:ind w:right="48"/>
        <w:rPr>
          <w:sz w:val="24"/>
          <w:szCs w:val="24"/>
        </w:rPr>
      </w:pPr>
    </w:p>
    <w:p w14:paraId="00000050" w14:textId="77777777" w:rsidR="00ED195E" w:rsidRDefault="00ED195E">
      <w:pPr>
        <w:pBdr>
          <w:top w:val="nil"/>
          <w:left w:val="nil"/>
          <w:bottom w:val="nil"/>
          <w:right w:val="nil"/>
          <w:between w:val="nil"/>
        </w:pBdr>
        <w:spacing w:before="200" w:line="360" w:lineRule="auto"/>
        <w:ind w:right="48"/>
        <w:rPr>
          <w:sz w:val="24"/>
          <w:szCs w:val="24"/>
        </w:rPr>
      </w:pPr>
    </w:p>
    <w:p w14:paraId="00000051" w14:textId="77777777" w:rsidR="00ED195E" w:rsidRDefault="00ED195E">
      <w:pPr>
        <w:pBdr>
          <w:top w:val="nil"/>
          <w:left w:val="nil"/>
          <w:bottom w:val="nil"/>
          <w:right w:val="nil"/>
          <w:between w:val="nil"/>
        </w:pBdr>
        <w:spacing w:before="200" w:line="360" w:lineRule="auto"/>
        <w:ind w:right="48"/>
        <w:rPr>
          <w:sz w:val="24"/>
          <w:szCs w:val="24"/>
        </w:rPr>
      </w:pPr>
    </w:p>
    <w:p w14:paraId="00000052" w14:textId="77777777" w:rsidR="00ED195E" w:rsidRDefault="00ED195E">
      <w:pPr>
        <w:pBdr>
          <w:top w:val="nil"/>
          <w:left w:val="nil"/>
          <w:bottom w:val="nil"/>
          <w:right w:val="nil"/>
          <w:between w:val="nil"/>
        </w:pBdr>
        <w:spacing w:before="200" w:line="360" w:lineRule="auto"/>
        <w:ind w:right="48"/>
        <w:rPr>
          <w:sz w:val="24"/>
          <w:szCs w:val="24"/>
        </w:rPr>
      </w:pPr>
    </w:p>
    <w:p w14:paraId="00000053" w14:textId="77777777" w:rsidR="00ED195E" w:rsidRDefault="00ED195E">
      <w:pPr>
        <w:pBdr>
          <w:top w:val="nil"/>
          <w:left w:val="nil"/>
          <w:bottom w:val="nil"/>
          <w:right w:val="nil"/>
          <w:between w:val="nil"/>
        </w:pBdr>
        <w:spacing w:before="200" w:line="360" w:lineRule="auto"/>
        <w:ind w:right="48"/>
        <w:rPr>
          <w:sz w:val="24"/>
          <w:szCs w:val="24"/>
        </w:rPr>
      </w:pPr>
    </w:p>
    <w:p w14:paraId="00000054" w14:textId="77777777" w:rsidR="00ED195E" w:rsidRDefault="00ED195E">
      <w:pPr>
        <w:pBdr>
          <w:top w:val="nil"/>
          <w:left w:val="nil"/>
          <w:bottom w:val="nil"/>
          <w:right w:val="nil"/>
          <w:between w:val="nil"/>
        </w:pBdr>
        <w:spacing w:before="200" w:line="360" w:lineRule="auto"/>
        <w:ind w:right="48"/>
        <w:rPr>
          <w:sz w:val="24"/>
          <w:szCs w:val="24"/>
        </w:rPr>
      </w:pPr>
    </w:p>
    <w:p w14:paraId="00000055" w14:textId="77777777" w:rsidR="00ED195E" w:rsidRDefault="00ED195E">
      <w:pPr>
        <w:pBdr>
          <w:top w:val="nil"/>
          <w:left w:val="nil"/>
          <w:bottom w:val="nil"/>
          <w:right w:val="nil"/>
          <w:between w:val="nil"/>
        </w:pBdr>
        <w:spacing w:before="200" w:line="360" w:lineRule="auto"/>
        <w:ind w:right="48"/>
        <w:rPr>
          <w:sz w:val="24"/>
          <w:szCs w:val="24"/>
        </w:rPr>
      </w:pPr>
    </w:p>
    <w:p w14:paraId="00000056" w14:textId="77777777" w:rsidR="00ED195E" w:rsidRDefault="00ED195E">
      <w:pPr>
        <w:pBdr>
          <w:top w:val="nil"/>
          <w:left w:val="nil"/>
          <w:bottom w:val="nil"/>
          <w:right w:val="nil"/>
          <w:between w:val="nil"/>
        </w:pBdr>
        <w:spacing w:before="200" w:line="360" w:lineRule="auto"/>
        <w:ind w:right="48"/>
        <w:rPr>
          <w:sz w:val="24"/>
          <w:szCs w:val="24"/>
        </w:rPr>
      </w:pPr>
    </w:p>
    <w:p w14:paraId="00000057" w14:textId="77777777" w:rsidR="00ED195E" w:rsidRDefault="00ED195E">
      <w:pPr>
        <w:pBdr>
          <w:top w:val="nil"/>
          <w:left w:val="nil"/>
          <w:bottom w:val="nil"/>
          <w:right w:val="nil"/>
          <w:between w:val="nil"/>
        </w:pBdr>
        <w:spacing w:before="200" w:line="360" w:lineRule="auto"/>
        <w:ind w:right="48"/>
        <w:rPr>
          <w:sz w:val="24"/>
          <w:szCs w:val="24"/>
        </w:rPr>
      </w:pPr>
    </w:p>
    <w:p w14:paraId="00000058" w14:textId="77777777" w:rsidR="00ED195E" w:rsidRDefault="00ED195E">
      <w:pPr>
        <w:pBdr>
          <w:top w:val="nil"/>
          <w:left w:val="nil"/>
          <w:bottom w:val="nil"/>
          <w:right w:val="nil"/>
          <w:between w:val="nil"/>
        </w:pBdr>
        <w:spacing w:before="200" w:line="360" w:lineRule="auto"/>
        <w:ind w:right="48"/>
        <w:rPr>
          <w:sz w:val="24"/>
          <w:szCs w:val="24"/>
        </w:rPr>
      </w:pPr>
    </w:p>
    <w:p w14:paraId="00000059" w14:textId="77777777" w:rsidR="00ED195E" w:rsidRDefault="00ED195E">
      <w:pPr>
        <w:pBdr>
          <w:top w:val="nil"/>
          <w:left w:val="nil"/>
          <w:bottom w:val="nil"/>
          <w:right w:val="nil"/>
          <w:between w:val="nil"/>
        </w:pBdr>
        <w:spacing w:before="200" w:line="360" w:lineRule="auto"/>
        <w:ind w:right="48"/>
        <w:rPr>
          <w:sz w:val="24"/>
          <w:szCs w:val="24"/>
        </w:rPr>
      </w:pPr>
    </w:p>
    <w:p w14:paraId="0000005A" w14:textId="77777777" w:rsidR="00ED195E" w:rsidRDefault="00ED195E">
      <w:pPr>
        <w:pBdr>
          <w:top w:val="nil"/>
          <w:left w:val="nil"/>
          <w:bottom w:val="nil"/>
          <w:right w:val="nil"/>
          <w:between w:val="nil"/>
        </w:pBdr>
        <w:spacing w:before="200" w:line="360" w:lineRule="auto"/>
        <w:ind w:right="48"/>
        <w:rPr>
          <w:sz w:val="24"/>
          <w:szCs w:val="24"/>
        </w:rPr>
      </w:pPr>
    </w:p>
    <w:p w14:paraId="0000005B" w14:textId="77777777" w:rsidR="00ED195E" w:rsidRDefault="00ED195E">
      <w:pPr>
        <w:pBdr>
          <w:top w:val="nil"/>
          <w:left w:val="nil"/>
          <w:bottom w:val="nil"/>
          <w:right w:val="nil"/>
          <w:between w:val="nil"/>
        </w:pBdr>
        <w:spacing w:before="200" w:line="360" w:lineRule="auto"/>
        <w:ind w:right="48"/>
        <w:rPr>
          <w:sz w:val="24"/>
          <w:szCs w:val="24"/>
        </w:rPr>
      </w:pPr>
    </w:p>
    <w:p w14:paraId="0000005C" w14:textId="77777777" w:rsidR="00ED195E" w:rsidRDefault="00000000">
      <w:pPr>
        <w:pStyle w:val="Heading1"/>
        <w:spacing w:before="200" w:line="360" w:lineRule="auto"/>
        <w:ind w:left="0"/>
        <w:rPr>
          <w:b w:val="0"/>
          <w:bCs w:val="0"/>
          <w:sz w:val="24"/>
          <w:szCs w:val="24"/>
        </w:rPr>
      </w:pPr>
      <w:r>
        <w:rPr>
          <w:b w:val="0"/>
          <w:bCs w:val="0"/>
          <w:sz w:val="24"/>
          <w:szCs w:val="24"/>
        </w:rPr>
        <w:t>REFERENCIAS</w:t>
      </w:r>
    </w:p>
    <w:p w14:paraId="0000005D" w14:textId="77777777" w:rsidR="00ED195E" w:rsidRDefault="00000000">
      <w:pPr>
        <w:spacing w:before="200" w:line="360" w:lineRule="auto"/>
        <w:ind w:right="46"/>
        <w:rPr>
          <w:sz w:val="24"/>
          <w:szCs w:val="24"/>
        </w:rPr>
      </w:pPr>
      <w:r>
        <w:rPr>
          <w:sz w:val="24"/>
          <w:szCs w:val="24"/>
        </w:rPr>
        <w:lastRenderedPageBreak/>
        <w:t xml:space="preserve">Canal Trece Colombia. (25 de julio de 2022). ¿Cómo viven y se comunican las personas con sordoceguera en </w:t>
      </w:r>
      <w:proofErr w:type="gramStart"/>
      <w:r>
        <w:rPr>
          <w:sz w:val="24"/>
          <w:szCs w:val="24"/>
        </w:rPr>
        <w:t>Colombia?.</w:t>
      </w:r>
      <w:proofErr w:type="gramEnd"/>
      <w:r>
        <w:rPr>
          <w:sz w:val="24"/>
          <w:szCs w:val="24"/>
        </w:rPr>
        <w:t xml:space="preserve"> [Archivo de Vídeo]. </w:t>
      </w:r>
      <w:proofErr w:type="spellStart"/>
      <w:r>
        <w:rPr>
          <w:sz w:val="24"/>
          <w:szCs w:val="24"/>
        </w:rPr>
        <w:t>Youtube</w:t>
      </w:r>
      <w:proofErr w:type="spellEnd"/>
      <w:r>
        <w:rPr>
          <w:sz w:val="24"/>
          <w:szCs w:val="24"/>
        </w:rPr>
        <w:t xml:space="preserve">. </w:t>
      </w:r>
      <w:hyperlink r:id="rId6">
        <w:r>
          <w:rPr>
            <w:color w:val="1154CC"/>
            <w:sz w:val="24"/>
            <w:szCs w:val="24"/>
          </w:rPr>
          <w:t>https://www.youtube.com/watch?v=vOTKca9EQj4</w:t>
        </w:r>
      </w:hyperlink>
    </w:p>
    <w:p w14:paraId="0000005E" w14:textId="77777777" w:rsidR="00ED195E" w:rsidRDefault="00000000">
      <w:pPr>
        <w:spacing w:before="200" w:line="360" w:lineRule="auto"/>
        <w:ind w:right="43"/>
        <w:rPr>
          <w:sz w:val="24"/>
          <w:szCs w:val="24"/>
        </w:rPr>
      </w:pPr>
      <w:r>
        <w:rPr>
          <w:sz w:val="24"/>
          <w:szCs w:val="24"/>
        </w:rPr>
        <w:t xml:space="preserve">Ministerio de Educación, Cultura y Deporte de España. (2017). Intervención educativa en el alumnado con sordoceguera: Guías prácticas de orientaciones para la inclusión educativa. Ministerio de Educación, Cultura y Deporte de España. </w:t>
      </w:r>
      <w:hyperlink r:id="rId7">
        <w:r>
          <w:rPr>
            <w:color w:val="1154CC"/>
            <w:sz w:val="24"/>
            <w:szCs w:val="24"/>
          </w:rPr>
          <w:t>https://biblioteca.fundaciononce.es/system/files/18731.pdf</w:t>
        </w:r>
      </w:hyperlink>
    </w:p>
    <w:p w14:paraId="0000005F" w14:textId="77777777" w:rsidR="00ED195E" w:rsidRDefault="00000000">
      <w:pPr>
        <w:tabs>
          <w:tab w:val="left" w:pos="2980"/>
          <w:tab w:val="left" w:pos="4747"/>
          <w:tab w:val="left" w:pos="5817"/>
          <w:tab w:val="left" w:pos="7670"/>
          <w:tab w:val="left" w:pos="8789"/>
        </w:tabs>
        <w:spacing w:before="200" w:line="360" w:lineRule="auto"/>
        <w:ind w:right="41"/>
        <w:rPr>
          <w:sz w:val="24"/>
          <w:szCs w:val="24"/>
        </w:rPr>
      </w:pPr>
      <w:r>
        <w:rPr>
          <w:sz w:val="24"/>
          <w:szCs w:val="24"/>
        </w:rPr>
        <w:t>Ministerio de Educación del Perú. (2023). Orientaciones para la atención de estudiantes con sordoceguera.</w:t>
      </w:r>
      <w:r>
        <w:rPr>
          <w:sz w:val="24"/>
          <w:szCs w:val="24"/>
        </w:rPr>
        <w:tab/>
        <w:t>Ministerio</w:t>
      </w:r>
      <w:r>
        <w:rPr>
          <w:sz w:val="24"/>
          <w:szCs w:val="24"/>
        </w:rPr>
        <w:tab/>
        <w:t>de</w:t>
      </w:r>
      <w:r>
        <w:rPr>
          <w:sz w:val="24"/>
          <w:szCs w:val="24"/>
        </w:rPr>
        <w:tab/>
        <w:t>Educación</w:t>
      </w:r>
      <w:r>
        <w:rPr>
          <w:sz w:val="24"/>
          <w:szCs w:val="24"/>
        </w:rPr>
        <w:tab/>
        <w:t>del</w:t>
      </w:r>
      <w:r>
        <w:rPr>
          <w:sz w:val="24"/>
          <w:szCs w:val="24"/>
        </w:rPr>
        <w:tab/>
        <w:t xml:space="preserve">Perú. </w:t>
      </w:r>
      <w:hyperlink r:id="rId8">
        <w:r>
          <w:rPr>
            <w:color w:val="1154CC"/>
            <w:sz w:val="24"/>
            <w:szCs w:val="24"/>
          </w:rPr>
          <w:t>https://repositorio.minedu.gob.pe/bitstream/handle/20.500.12799/8984/Orientaciones%</w:t>
        </w:r>
      </w:hyperlink>
      <w:r>
        <w:rPr>
          <w:color w:val="1154CC"/>
          <w:sz w:val="24"/>
          <w:szCs w:val="24"/>
        </w:rPr>
        <w:t xml:space="preserve"> </w:t>
      </w:r>
      <w:hyperlink r:id="rId9">
        <w:r>
          <w:rPr>
            <w:color w:val="1154CC"/>
            <w:sz w:val="24"/>
            <w:szCs w:val="24"/>
          </w:rPr>
          <w:t>20para%20la%20atenci%C3%B3n%20de%20estudiantes%20con%20sordoceguera.pd</w:t>
        </w:r>
      </w:hyperlink>
      <w:r>
        <w:rPr>
          <w:color w:val="1154CC"/>
          <w:sz w:val="24"/>
          <w:szCs w:val="24"/>
        </w:rPr>
        <w:t xml:space="preserve"> </w:t>
      </w:r>
      <w:hyperlink r:id="rId10">
        <w:proofErr w:type="spellStart"/>
        <w:r>
          <w:rPr>
            <w:color w:val="1154CC"/>
            <w:sz w:val="24"/>
            <w:szCs w:val="24"/>
          </w:rPr>
          <w:t>f?sequence</w:t>
        </w:r>
        <w:proofErr w:type="spellEnd"/>
        <w:r>
          <w:rPr>
            <w:color w:val="1154CC"/>
            <w:sz w:val="24"/>
            <w:szCs w:val="24"/>
          </w:rPr>
          <w:t>=1&amp;isAllowed=y</w:t>
        </w:r>
      </w:hyperlink>
    </w:p>
    <w:p w14:paraId="00000060" w14:textId="77777777" w:rsidR="00ED195E" w:rsidRDefault="00000000">
      <w:pPr>
        <w:spacing w:before="200" w:line="360" w:lineRule="auto"/>
        <w:ind w:right="43"/>
        <w:rPr>
          <w:color w:val="000000"/>
          <w:sz w:val="24"/>
          <w:szCs w:val="24"/>
        </w:rPr>
      </w:pPr>
      <w:r>
        <w:rPr>
          <w:sz w:val="24"/>
          <w:szCs w:val="24"/>
        </w:rPr>
        <w:t xml:space="preserve">World </w:t>
      </w:r>
      <w:proofErr w:type="spellStart"/>
      <w:r>
        <w:rPr>
          <w:sz w:val="24"/>
          <w:szCs w:val="24"/>
        </w:rPr>
        <w:t>Federation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Deafblind</w:t>
      </w:r>
      <w:proofErr w:type="spellEnd"/>
      <w:r>
        <w:rPr>
          <w:sz w:val="24"/>
          <w:szCs w:val="24"/>
        </w:rPr>
        <w:t xml:space="preserve">. (2023). Segundo Informe Mundial sobre la situación de las personas con sordoceguera: Buenas Prácticas y Recomendaciones para la Inclusión de las Personas con Sordoceguera. World </w:t>
      </w:r>
      <w:proofErr w:type="spellStart"/>
      <w:r>
        <w:rPr>
          <w:sz w:val="24"/>
          <w:szCs w:val="24"/>
        </w:rPr>
        <w:t>Federation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Deafblind</w:t>
      </w:r>
      <w:proofErr w:type="spellEnd"/>
      <w:r>
        <w:rPr>
          <w:sz w:val="24"/>
          <w:szCs w:val="24"/>
        </w:rPr>
        <w:t xml:space="preserve">. </w:t>
      </w:r>
      <w:hyperlink r:id="rId11">
        <w:r>
          <w:rPr>
            <w:color w:val="1154CC"/>
            <w:sz w:val="24"/>
            <w:szCs w:val="24"/>
          </w:rPr>
          <w:t>https://wfdb.eu/wp-content/uploads/2023/03/SPA_WFDB-2nd-Global-Report_-FINAL-V6</w:t>
        </w:r>
      </w:hyperlink>
      <w:hyperlink r:id="rId12">
        <w:r>
          <w:rPr>
            <w:color w:val="1154CC"/>
            <w:sz w:val="24"/>
            <w:szCs w:val="24"/>
          </w:rPr>
          <w:t>.pdf</w:t>
        </w:r>
      </w:hyperlink>
    </w:p>
    <w:sectPr w:rsidR="00ED195E">
      <w:pgSz w:w="11920" w:h="16840"/>
      <w:pgMar w:top="1240" w:right="1275" w:bottom="280" w:left="1275"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AD80E5C-CEAE-4D8B-AD19-F5DC57A8088E}"/>
  </w:font>
  <w:font w:name="Calibri">
    <w:panose1 w:val="020F0502020204030204"/>
    <w:charset w:val="00"/>
    <w:family w:val="swiss"/>
    <w:pitch w:val="variable"/>
    <w:sig w:usb0="E4002EFF" w:usb1="C200247B" w:usb2="00000009" w:usb3="00000000" w:csb0="000001FF" w:csb1="00000000"/>
    <w:embedRegular r:id="rId2" w:fontKey="{69E693A5-B083-430A-8343-DA64F7A5724E}"/>
  </w:font>
  <w:font w:name="Cambria">
    <w:panose1 w:val="02040503050406030204"/>
    <w:charset w:val="00"/>
    <w:family w:val="roman"/>
    <w:pitch w:val="variable"/>
    <w:sig w:usb0="E00006FF" w:usb1="420024FF" w:usb2="02000000" w:usb3="00000000" w:csb0="0000019F" w:csb1="00000000"/>
    <w:embedRegular r:id="rId3" w:fontKey="{4979CF04-FBEA-4A7E-B20D-51722B7275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95E"/>
    <w:rsid w:val="007B12C8"/>
    <w:rsid w:val="00B56A54"/>
    <w:rsid w:val="00ED19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CE0A0-7A7C-47EB-BA5A-3B8514C8C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8"/>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4"/>
      <w:ind w:left="28" w:right="42"/>
      <w:jc w:val="both"/>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positorio.minedu.gob.pe/bitstream/handle/20.500.12799/8984/Orientaciones%20para%20la%20atenci%C3%B3n%20de%20estudiantes%20con%20sordoceguera.pdf?sequence=1&amp;isAllowed=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iblioteca.fundaciononce.es/system/files/18731.pdf" TargetMode="External"/><Relationship Id="rId12" Type="http://schemas.openxmlformats.org/officeDocument/2006/relationships/hyperlink" Target="https://wfdb.eu/wp-content/uploads/2023/03/SPA_WFDB-2nd-Global-Report_-FINAL-V6.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vOTKca9EQj4" TargetMode="External"/><Relationship Id="rId11" Type="http://schemas.openxmlformats.org/officeDocument/2006/relationships/hyperlink" Target="https://wfdb.eu/wp-content/uploads/2023/03/SPA_WFDB-2nd-Global-Report_-FINAL-V6.pdf" TargetMode="External"/><Relationship Id="rId5" Type="http://schemas.openxmlformats.org/officeDocument/2006/relationships/hyperlink" Target="mailto:jhinojosay@unife.edu.pe" TargetMode="External"/><Relationship Id="rId10" Type="http://schemas.openxmlformats.org/officeDocument/2006/relationships/hyperlink" Target="https://repositorio.minedu.gob.pe/bitstream/handle/20.500.12799/8984/Orientaciones%20para%20la%20atenci%C3%B3n%20de%20estudiantes%20con%20sordoceguera.pdf?sequence=1&amp;isAllowed=y" TargetMode="External"/><Relationship Id="rId4" Type="http://schemas.openxmlformats.org/officeDocument/2006/relationships/hyperlink" Target="mailto:gabriela.unoccp@unife.pe" TargetMode="External"/><Relationship Id="rId9" Type="http://schemas.openxmlformats.org/officeDocument/2006/relationships/hyperlink" Target="https://repositorio.minedu.gob.pe/bitstream/handle/20.500.12799/8984/Orientaciones%20para%20la%20atenci%C3%B3n%20de%20estudiantes%20con%20sordoceguera.pdf?sequence=1&amp;isAllowed=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2467</Words>
  <Characters>14068</Characters>
  <Application>Microsoft Office Word</Application>
  <DocSecurity>2</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Sense</Company>
  <LinksUpToDate>false</LinksUpToDate>
  <CharactersWithSpaces>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Laurie-Ann Mafusire</cp:lastModifiedBy>
  <cp:revision>2</cp:revision>
  <dcterms:created xsi:type="dcterms:W3CDTF">2026-03-16T14:51:00Z</dcterms:created>
  <dcterms:modified xsi:type="dcterms:W3CDTF">2026-03-16T14:52:00Z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2026-02-28T00:00:00Z</vt:lpwstr>
  </property>
  <property fmtid="{D5CDD505-2E9C-101B-9397-08002B2CF9AE}" pid="3" name="Producer">
    <vt:lpwstr>Skia/PDF m144 Google Docs Renderer</vt:lpwstr>
  </property>
  <property fmtid="{D5CDD505-2E9C-101B-9397-08002B2CF9AE}" pid="4" name="LastSaved">
    <vt:lpwstr>2026-02-28T00:00:00Z</vt:lpwstr>
  </property>
</Properties>
</file>